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mallCaps/>
          <w:color w:val="1A365D"/>
          <w:sz w:val="36"/>
          <w:szCs w:val="36"/>
        </w:rPr>
        <w:t xml:space="preserve">ASSIGNATION PAR-DEVANT LE TRIBUNAL JUDICIAIRE DE [...]</w:t>
      </w:r>
    </w:p>
    <w:p>
      <w:pPr>
        <w:spacing w:after="240"/>
        <w:jc w:val="center"/>
      </w:pPr>
      <w:r>
        <w:rPr>
          <w:rFonts w:ascii="Times New Roman" w:cs="Times New Roman" w:eastAsia="Times New Roman" w:hAnsi="Times New Roman"/>
          <w:color w:val="C9A227"/>
          <w:sz w:val="24"/>
          <w:szCs w:val="24"/>
        </w:rPr>
        <w:t xml:space="preserve">━━━━━━━━━━━━━━━━━━━━━━━━━━━━━━━━━━━━━━━━━━━━</w:t>
      </w:r>
    </w:p>
    <w:p>
      <w:pPr>
        <w:spacing w:after="80"/>
        <w:jc w:val="center"/>
      </w:pPr>
      <w:r>
        <w:rPr>
          <w:rFonts w:ascii="Times New Roman" w:cs="Times New Roman" w:eastAsia="Times New Roman" w:hAnsi="Times New Roman"/>
          <w:color w:val="000000"/>
          <w:sz w:val="24"/>
          <w:szCs w:val="24"/>
        </w:rPr>
        <w:t xml:space="preserve">L'AN DEUX MILLE </w:t>
      </w:r>
      <w:r>
        <w:rPr>
          <w:rFonts w:ascii="Times New Roman" w:cs="Times New Roman" w:eastAsia="Times New Roman" w:hAnsi="Times New Roman"/>
          <w:i/>
          <w:iCs/>
          <w:color w:val="A88B1F"/>
          <w:sz w:val="24"/>
          <w:szCs w:val="24"/>
        </w:rPr>
        <w:t xml:space="preserve">[...]</w:t>
      </w:r>
    </w:p>
    <w:p>
      <w:pPr>
        <w:spacing w:after="240"/>
        <w:jc w:val="center"/>
      </w:pPr>
      <w:r>
        <w:rPr>
          <w:rFonts w:ascii="Times New Roman" w:cs="Times New Roman" w:eastAsia="Times New Roman" w:hAnsi="Times New Roman"/>
          <w:color w:val="000000"/>
          <w:sz w:val="24"/>
          <w:szCs w:val="24"/>
        </w:rPr>
        <w:t xml:space="preserve">ET LE</w:t>
      </w:r>
    </w:p>
    <w:p>
      <w:pPr>
        <w:spacing w:before="240" w:after="240"/>
        <w:jc w:val="center"/>
      </w:pPr>
      <w:r>
        <w:rPr>
          <w:rFonts w:ascii="Times New Roman" w:cs="Times New Roman" w:eastAsia="Times New Roman" w:hAnsi="Times New Roman"/>
          <w:color w:val="C9A227"/>
          <w:sz w:val="24"/>
          <w:szCs w:val="24"/>
        </w:rPr>
        <w:t xml:space="preserve">◆ ◆ ◆</w:t>
      </w:r>
    </w:p>
    <w:p>
      <w:pPr>
        <w:spacing w:before="360" w:after="200"/>
        <w:jc w:val="left"/>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À LA DEMANDE DE :</w:t>
      </w:r>
    </w:p>
    <w:p>
      <w:pPr>
        <w:spacing w:after="120"/>
        <w:jc w:val="left"/>
      </w:pPr>
      <w:r>
        <w:rPr>
          <w:rFonts w:ascii="Times New Roman" w:cs="Times New Roman" w:eastAsia="Times New Roman" w:hAnsi="Times New Roman"/>
          <w:i/>
          <w:iCs/>
          <w:color w:val="666666"/>
          <w:sz w:val="22"/>
          <w:szCs w:val="22"/>
        </w:rPr>
        <w:t xml:space="preserve">[Si personne physique]</w:t>
      </w:r>
    </w:p>
    <w:p>
      <w:pPr>
        <w:spacing w:after="120" w:line="276"/>
        <w:jc w:val="both"/>
      </w:pPr>
      <w:r>
        <w:rPr>
          <w:rFonts w:ascii="Times New Roman" w:cs="Times New Roman" w:eastAsia="Times New Roman" w:hAnsi="Times New Roman"/>
          <w:b/>
          <w:bCs/>
          <w:i w:val="false"/>
          <w:iCs w:val="false"/>
          <w:color w:val="000000"/>
          <w:sz w:val="24"/>
          <w:szCs w:val="24"/>
        </w:rPr>
        <w:t xml:space="preserve">Monsieur ou Madame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color w:val="000000"/>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color w:val="000000"/>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color w:val="000000"/>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color w:val="000000"/>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color w:val="000000"/>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before="200" w:after="120"/>
        <w:jc w:val="left"/>
      </w:pPr>
      <w:r>
        <w:rPr>
          <w:rFonts w:ascii="Times New Roman" w:cs="Times New Roman" w:eastAsia="Times New Roman" w:hAnsi="Times New Roman"/>
          <w:i/>
          <w:iCs/>
          <w:color w:val="666666"/>
          <w:sz w:val="22"/>
          <w:szCs w:val="22"/>
        </w:rPr>
        <w:t xml:space="preserve">[Si personne morale]</w:t>
      </w:r>
    </w:p>
    <w:p>
      <w:pPr>
        <w:spacing w:after="120" w:line="276"/>
        <w:jc w:val="both"/>
      </w:pPr>
      <w:r>
        <w:rPr>
          <w:rFonts w:ascii="Times New Roman" w:cs="Times New Roman" w:eastAsia="Times New Roman" w:hAnsi="Times New Roman"/>
          <w:b/>
          <w:bCs/>
          <w:i w:val="false"/>
          <w:iCs w:val="false"/>
          <w:color w:val="000000"/>
          <w:sz w:val="24"/>
          <w:szCs w:val="24"/>
        </w:rPr>
        <w:t xml:space="preserve">La société</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color w:val="000000"/>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color w:val="000000"/>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color w:val="000000"/>
          <w:sz w:val="24"/>
          <w:szCs w:val="24"/>
        </w:rPr>
        <w:t xml:space="preserve">, agissant poursuites et diligences de ses représentants légaux domiciliés, en cette qualité, audit siège</w:t>
      </w:r>
    </w:p>
    <w:p>
      <w:pPr>
        <w:spacing w:before="240" w:after="120"/>
        <w:jc w:val="left"/>
      </w:pPr>
      <w:r>
        <w:rPr>
          <w:rFonts w:ascii="Times New Roman" w:cs="Times New Roman" w:eastAsia="Times New Roman" w:hAnsi="Times New Roman"/>
          <w:b/>
          <w:bCs/>
          <w:color w:val="1A365D"/>
          <w:sz w:val="24"/>
          <w:szCs w:val="24"/>
          <w:u w:val="single"/>
        </w:rPr>
        <w:t xml:space="preserve">Ayant pour avocat :</w:t>
      </w:r>
    </w:p>
    <w:p>
      <w:pPr>
        <w:spacing w:after="120" w:line="276"/>
        <w:jc w:val="both"/>
      </w:pPr>
      <w:r>
        <w:rPr>
          <w:rFonts w:ascii="Times New Roman" w:cs="Times New Roman" w:eastAsia="Times New Roman" w:hAnsi="Times New Roman"/>
          <w:b/>
          <w:bCs/>
          <w:i w:val="false"/>
          <w:iCs w:val="false"/>
          <w:color w:val="000000"/>
          <w:sz w:val="24"/>
          <w:szCs w:val="24"/>
        </w:rPr>
        <w:t xml:space="preserve">Maître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color w:val="000000"/>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color w:val="000000"/>
          <w:sz w:val="24"/>
          <w:szCs w:val="24"/>
        </w:rPr>
        <w:t xml:space="preserve">, y demeurant </w:t>
      </w:r>
      <w:r>
        <w:rPr>
          <w:rFonts w:ascii="Times New Roman" w:cs="Times New Roman" w:eastAsia="Times New Roman" w:hAnsi="Times New Roman"/>
          <w:i/>
          <w:iCs/>
          <w:color w:val="A88B1F"/>
          <w:sz w:val="24"/>
          <w:szCs w:val="24"/>
        </w:rPr>
        <w:t xml:space="preserve">[adresse]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Au cabinet duquel il est fait élection de domicile et qui se constitue sur la présente assignation et ses suites</w:t>
      </w:r>
    </w:p>
    <w:p>
      <w:pPr>
        <w:spacing w:before="240" w:after="240"/>
        <w:jc w:val="center"/>
      </w:pPr>
      <w:r>
        <w:rPr>
          <w:rFonts w:ascii="Times New Roman" w:cs="Times New Roman" w:eastAsia="Times New Roman" w:hAnsi="Times New Roman"/>
          <w:color w:val="C9A227"/>
          <w:sz w:val="24"/>
          <w:szCs w:val="24"/>
        </w:rPr>
        <w:t xml:space="preserve">◆ ◆ ◆</w:t>
      </w:r>
    </w:p>
    <w:p>
      <w:pPr>
        <w:spacing w:before="360" w:after="200"/>
        <w:jc w:val="left"/>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J'AI COMMISSAIRE DE JUSTICE SOUSSIGNÉ :</w:t>
      </w:r>
    </w:p>
    <w:p>
      <w:pPr>
        <w:spacing w:after="200"/>
        <w:jc w:val="left"/>
      </w:pPr>
      <w:r>
        <w:rPr>
          <w:rFonts w:ascii="Times New Roman" w:cs="Times New Roman" w:eastAsia="Times New Roman" w:hAnsi="Times New Roman"/>
          <w:b/>
          <w:bCs/>
          <w:color w:val="1A365D"/>
          <w:sz w:val="24"/>
          <w:szCs w:val="24"/>
          <w:u w:val="single"/>
        </w:rPr>
        <w:t xml:space="preserve">DONNÉ ASSIGNATION À :</w:t>
      </w:r>
    </w:p>
    <w:p>
      <w:pPr>
        <w:spacing w:after="120"/>
        <w:jc w:val="left"/>
      </w:pPr>
      <w:r>
        <w:rPr>
          <w:rFonts w:ascii="Times New Roman" w:cs="Times New Roman" w:eastAsia="Times New Roman" w:hAnsi="Times New Roman"/>
          <w:i/>
          <w:iCs/>
          <w:color w:val="666666"/>
          <w:sz w:val="22"/>
          <w:szCs w:val="22"/>
        </w:rPr>
        <w:t xml:space="preserve">[Si personne physique]</w:t>
      </w:r>
    </w:p>
    <w:p>
      <w:pPr>
        <w:spacing w:after="120" w:line="276"/>
        <w:jc w:val="both"/>
      </w:pPr>
      <w:r>
        <w:rPr>
          <w:rFonts w:ascii="Times New Roman" w:cs="Times New Roman" w:eastAsia="Times New Roman" w:hAnsi="Times New Roman"/>
          <w:b/>
          <w:bCs/>
          <w:i w:val="false"/>
          <w:iCs w:val="false"/>
          <w:color w:val="000000"/>
          <w:sz w:val="24"/>
          <w:szCs w:val="24"/>
        </w:rPr>
        <w:t xml:space="preserve">Monsieur ou Madame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color w:val="000000"/>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color w:val="000000"/>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color w:val="000000"/>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color w:val="000000"/>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color w:val="000000"/>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Où étant et parlant à :</w:t>
      </w:r>
    </w:p>
    <w:p>
      <w:pPr>
        <w:spacing w:before="200" w:after="120"/>
        <w:jc w:val="left"/>
      </w:pPr>
      <w:r>
        <w:rPr>
          <w:rFonts w:ascii="Times New Roman" w:cs="Times New Roman" w:eastAsia="Times New Roman" w:hAnsi="Times New Roman"/>
          <w:i/>
          <w:iCs/>
          <w:color w:val="666666"/>
          <w:sz w:val="22"/>
          <w:szCs w:val="22"/>
        </w:rPr>
        <w:t xml:space="preserve">[Si personne morale]</w:t>
      </w:r>
    </w:p>
    <w:p>
      <w:pPr>
        <w:spacing w:after="120" w:line="276"/>
        <w:jc w:val="both"/>
      </w:pPr>
      <w:r>
        <w:rPr>
          <w:rFonts w:ascii="Times New Roman" w:cs="Times New Roman" w:eastAsia="Times New Roman" w:hAnsi="Times New Roman"/>
          <w:b/>
          <w:bCs/>
          <w:i w:val="false"/>
          <w:iCs w:val="false"/>
          <w:color w:val="000000"/>
          <w:sz w:val="24"/>
          <w:szCs w:val="24"/>
        </w:rPr>
        <w:t xml:space="preserve">La société</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color w:val="000000"/>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color w:val="000000"/>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color w:val="000000"/>
          <w:sz w:val="24"/>
          <w:szCs w:val="24"/>
        </w:rPr>
        <w:t xml:space="preserve">, prise en la personne de son représentant légal domicilié, en cette qualité, audit siège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Où étant et parlant à :</w:t>
      </w:r>
    </w:p>
    <w:p>
      <w:pPr>
        <w:spacing w:before="240" w:after="200"/>
        <w:jc w:val="left"/>
      </w:pPr>
      <w:r>
        <w:rPr>
          <w:rFonts w:ascii="Times New Roman" w:cs="Times New Roman" w:eastAsia="Times New Roman" w:hAnsi="Times New Roman"/>
          <w:b/>
          <w:bCs/>
          <w:color w:val="1A365D"/>
          <w:sz w:val="24"/>
          <w:szCs w:val="24"/>
          <w:u w:val="single"/>
        </w:rPr>
        <w:t xml:space="preserve">D'AVOIR À COMPARAÎTRE :</w:t>
      </w:r>
    </w:p>
    <w:p>
      <w:pPr>
        <w:spacing w:after="120"/>
        <w:jc w:val="left"/>
      </w:pPr>
      <w:r>
        <w:rPr>
          <w:rFonts w:ascii="Times New Roman" w:cs="Times New Roman" w:eastAsia="Times New Roman" w:hAnsi="Times New Roman"/>
          <w:b/>
          <w:bCs/>
          <w:sz w:val="24"/>
          <w:szCs w:val="24"/>
        </w:rPr>
        <w:t xml:space="preserve">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bCs/>
          <w:sz w:val="24"/>
          <w:szCs w:val="24"/>
        </w:rPr>
        <w:t xml:space="preserve"> à </w:t>
      </w:r>
      <w:r>
        <w:rPr>
          <w:rFonts w:ascii="Times New Roman" w:cs="Times New Roman" w:eastAsia="Times New Roman" w:hAnsi="Times New Roman"/>
          <w:i/>
          <w:iCs/>
          <w:color w:val="A88B1F"/>
          <w:sz w:val="24"/>
          <w:szCs w:val="24"/>
        </w:rPr>
        <w:t xml:space="preserve">[heures]</w:t>
      </w:r>
    </w:p>
    <w:p>
      <w:pPr>
        <w:spacing w:after="120" w:line="276"/>
        <w:jc w:val="both"/>
      </w:pPr>
      <w:r>
        <w:rPr>
          <w:rFonts w:ascii="Times New Roman" w:cs="Times New Roman" w:eastAsia="Times New Roman" w:hAnsi="Times New Roman"/>
          <w:b/>
          <w:bCs/>
          <w:i w:val="false"/>
          <w:iCs w:val="false"/>
          <w:color w:val="000000"/>
          <w:sz w:val="24"/>
          <w:szCs w:val="24"/>
        </w:rPr>
        <w:t xml:space="preserve">Par-devant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b/>
          <w:bCs/>
          <w:i w:val="false"/>
          <w:iCs w:val="false"/>
          <w:color w:val="000000"/>
          <w:sz w:val="24"/>
          <w:szCs w:val="24"/>
        </w:rPr>
        <w:t xml:space="preserve">, siégeant en la salle ordinaire de ses audiences au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i w:val="false"/>
          <w:iCs w:val="false"/>
          <w:color w:val="000000"/>
          <w:sz w:val="24"/>
          <w:szCs w:val="24"/>
        </w:rPr>
        <w:t xml:space="preserve">, sis </w:t>
      </w:r>
      <w:r>
        <w:rPr>
          <w:rFonts w:ascii="Times New Roman" w:cs="Times New Roman" w:eastAsia="Times New Roman" w:hAnsi="Times New Roman"/>
          <w:i/>
          <w:iCs/>
          <w:color w:val="A88B1F"/>
          <w:sz w:val="24"/>
          <w:szCs w:val="24"/>
        </w:rPr>
        <w:t xml:space="preserve">[adresse]</w:t>
      </w:r>
    </w:p>
    <w:p>
      <w:pPr>
        <w:spacing w:before="240" w:after="200"/>
        <w:jc w:val="left"/>
      </w:pPr>
      <w:r>
        <w:rPr>
          <w:rFonts w:ascii="Times New Roman" w:cs="Times New Roman" w:eastAsia="Times New Roman" w:hAnsi="Times New Roman"/>
          <w:b/>
          <w:bCs/>
          <w:color w:val="1A365D"/>
          <w:sz w:val="24"/>
          <w:szCs w:val="24"/>
          <w:u w:val="single"/>
        </w:rPr>
        <w:t xml:space="preserve">ET L'INFORME :</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Qu'un procès lui est intenté pour les raisons exposées ci-après.</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Que, en application des articles 753 et 762 du Code de procédure civile il est tenu :</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Soit de se présenter à cette audience, seul ou assisté de l'une des personnes suivantes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 avocat</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conjoint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concubin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La personne avec laquelle il a conclu un pacte civil de solidarité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 parent ou allié en ligne directe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 parent ou allié en ligne collatérale jusqu'au troisième degré inclus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Une personne exclusivement attachée à son service personnel ou à son entreprise.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Que l'État, les départements, les régions, les communes et les établissements publics peuvent se faire représenter ou assister par un fonctionnaire ou un agent de leur administration.</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before="280" w:after="120"/>
        <w:jc w:val="left"/>
      </w:pPr>
      <w:r>
        <w:rPr>
          <w:rFonts w:ascii="Times New Roman" w:cs="Times New Roman" w:eastAsia="Times New Roman" w:hAnsi="Times New Roman"/>
          <w:b/>
          <w:bCs/>
          <w:color w:val="1A365D"/>
          <w:sz w:val="24"/>
          <w:szCs w:val="24"/>
          <w:u w:val="single"/>
        </w:rPr>
        <w:t xml:space="preserve">TRÈS IMPORTANT</w:t>
      </w:r>
    </w:p>
    <w:p>
      <w:pPr>
        <w:spacing w:after="200"/>
        <w:jc w:val="left"/>
      </w:pPr>
      <w:r>
        <w:rPr>
          <w:rFonts w:ascii="Times New Roman" w:cs="Times New Roman" w:eastAsia="Times New Roman" w:hAnsi="Times New Roman"/>
          <w:b/>
          <w:bCs/>
          <w:color w:val="1A365D"/>
          <w:sz w:val="24"/>
          <w:szCs w:val="24"/>
          <w:u w:val="single"/>
        </w:rPr>
        <w:t xml:space="preserve">Il est, par ailleurs, indiqué au défendeur les dispositions du Code de procédure civile suivantes :</w:t>
      </w:r>
    </w:p>
    <w:p>
      <w:pPr>
        <w:pBdr>
          <w:left w:val="single" w:color="C9A227" w:sz="24"/>
        </w:pBdr>
        <w:spacing w:before="200" w:after="80"/>
        <w:ind w:left="720" w:right="720"/>
        <w:jc w:val="left"/>
      </w:pPr>
      <w:r>
        <w:rPr>
          <w:rFonts w:ascii="Times New Roman" w:cs="Times New Roman" w:eastAsia="Times New Roman" w:hAnsi="Times New Roman"/>
          <w:b/>
          <w:bCs/>
          <w:color w:val="1A365D"/>
          <w:sz w:val="22"/>
          <w:szCs w:val="22"/>
          <w:u w:val="single"/>
        </w:rPr>
        <w:t xml:space="preserve">Article 817</w:t>
      </w:r>
    </w:p>
    <w:p>
      <w:pPr>
        <w:pBdr>
          <w:left w:val="single" w:color="C9A227" w:sz="24"/>
        </w:pBdr>
        <w:spacing w:after="200"/>
        <w:ind w:left="720" w:right="720"/>
        <w:jc w:val="both"/>
      </w:pPr>
      <w:r>
        <w:rPr>
          <w:rFonts w:ascii="Times New Roman" w:cs="Times New Roman" w:eastAsia="Times New Roman" w:hAnsi="Times New Roman"/>
          <w:i/>
          <w:iCs/>
          <w:color w:val="666666"/>
          <w:sz w:val="22"/>
          <w:szCs w:val="22"/>
        </w:rPr>
        <w:t xml:space="preserve">Lorsque les parties sont dispensées de constituer avocat conformément aux dispositions de l'article 761, la procédure est orale, sous réserve des dispositions particulières propres aux matières concernées.</w:t>
      </w:r>
    </w:p>
    <w:p>
      <w:pPr>
        <w:pBdr>
          <w:left w:val="single" w:color="C9A227" w:sz="24"/>
        </w:pBdr>
        <w:spacing w:before="200" w:after="80"/>
        <w:ind w:left="720" w:right="720"/>
        <w:jc w:val="left"/>
      </w:pPr>
      <w:r>
        <w:rPr>
          <w:rFonts w:ascii="Times New Roman" w:cs="Times New Roman" w:eastAsia="Times New Roman" w:hAnsi="Times New Roman"/>
          <w:b/>
          <w:bCs/>
          <w:color w:val="1A365D"/>
          <w:sz w:val="22"/>
          <w:szCs w:val="22"/>
          <w:u w:val="single"/>
        </w:rPr>
        <w:t xml:space="preserve">Article 827</w:t>
      </w:r>
    </w:p>
    <w:p>
      <w:pPr>
        <w:pBdr>
          <w:left w:val="single" w:color="C9A227" w:sz="24"/>
        </w:pBdr>
        <w:spacing w:after="200"/>
        <w:ind w:left="720" w:right="720"/>
        <w:jc w:val="both"/>
      </w:pPr>
      <w:r>
        <w:rPr>
          <w:rFonts w:ascii="Times New Roman" w:cs="Times New Roman" w:eastAsia="Times New Roman" w:hAnsi="Times New Roman"/>
          <w:i/>
          <w:iCs/>
          <w:color w:val="666666"/>
          <w:sz w:val="22"/>
          <w:szCs w:val="22"/>
        </w:rPr>
        <w:t xml:space="preserve">Le juge s'efforce de concilier les parties.</w:t>
      </w:r>
    </w:p>
    <w:p>
      <w:pPr>
        <w:pBdr>
          <w:left w:val="single" w:color="C9A227" w:sz="24"/>
        </w:pBdr>
        <w:spacing w:before="200" w:after="80"/>
        <w:ind w:left="720" w:right="720"/>
        <w:jc w:val="left"/>
      </w:pPr>
      <w:r>
        <w:rPr>
          <w:rFonts w:ascii="Times New Roman" w:cs="Times New Roman" w:eastAsia="Times New Roman" w:hAnsi="Times New Roman"/>
          <w:b/>
          <w:bCs/>
          <w:color w:val="1A365D"/>
          <w:sz w:val="22"/>
          <w:szCs w:val="22"/>
          <w:u w:val="single"/>
        </w:rPr>
        <w:t xml:space="preserve">Article 830</w:t>
      </w:r>
    </w:p>
    <w:p>
      <w:pPr>
        <w:pBdr>
          <w:left w:val="single" w:color="C9A227" w:sz="24"/>
        </w:pBdr>
        <w:spacing w:after="200"/>
        <w:ind w:left="720" w:right="720"/>
        <w:jc w:val="both"/>
      </w:pPr>
      <w:r>
        <w:rPr>
          <w:rFonts w:ascii="Times New Roman" w:cs="Times New Roman" w:eastAsia="Times New Roman" w:hAnsi="Times New Roman"/>
          <w:i/>
          <w:iCs/>
          <w:color w:val="666666"/>
          <w:sz w:val="22"/>
          <w:szCs w:val="22"/>
        </w:rPr>
        <w:t xml:space="preserve">A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p>
      <w:pPr>
        <w:pBdr>
          <w:left w:val="single" w:color="C9A227" w:sz="24"/>
        </w:pBdr>
        <w:spacing w:before="200" w:after="80"/>
        <w:ind w:left="720" w:right="720"/>
        <w:jc w:val="left"/>
      </w:pPr>
      <w:r>
        <w:rPr>
          <w:rFonts w:ascii="Times New Roman" w:cs="Times New Roman" w:eastAsia="Times New Roman" w:hAnsi="Times New Roman"/>
          <w:b/>
          <w:bCs/>
          <w:color w:val="1A365D"/>
          <w:sz w:val="22"/>
          <w:szCs w:val="22"/>
          <w:u w:val="single"/>
        </w:rPr>
        <w:t xml:space="preserve">Article 832</w:t>
      </w:r>
    </w:p>
    <w:p>
      <w:pPr>
        <w:pBdr>
          <w:left w:val="single" w:color="C9A227" w:sz="24"/>
        </w:pBdr>
        <w:spacing w:after="200"/>
        <w:ind w:left="720" w:right="720"/>
        <w:jc w:val="both"/>
      </w:pPr>
      <w:r>
        <w:rPr>
          <w:rFonts w:ascii="Times New Roman" w:cs="Times New Roman" w:eastAsia="Times New Roman" w:hAnsi="Times New Roman"/>
          <w:i/>
          <w:iCs/>
          <w:color w:val="666666"/>
          <w:sz w:val="22"/>
          <w:szCs w:val="22"/>
        </w:rPr>
        <w:t xml:space="preserve">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 L'auteur de cette demande incidente peut ne pas se présenter à l'audience, conformément au second alinéa de l'article 446-1. Dans ce cas, le juge ne fait droit aux demandes présentées contre cette partie que s'il les estime régulières, recevables et bien fondées.</w:t>
      </w:r>
    </w:p>
    <w:p>
      <w:pPr>
        <w:spacing w:before="200" w:after="120"/>
        <w:jc w:val="left"/>
      </w:pPr>
      <w:r>
        <w:rPr>
          <w:rFonts w:ascii="Times New Roman" w:cs="Times New Roman" w:eastAsia="Times New Roman" w:hAnsi="Times New Roman"/>
          <w:b/>
          <w:bCs/>
          <w:color w:val="1A365D"/>
          <w:sz w:val="24"/>
          <w:szCs w:val="24"/>
          <w:u w:val="single"/>
        </w:rPr>
        <w:t xml:space="preserve">Il est encore rappelé la disposition du Code civil suivante :</w:t>
      </w:r>
    </w:p>
    <w:p>
      <w:pPr>
        <w:pBdr>
          <w:left w:val="single" w:color="C9A227" w:sz="24"/>
        </w:pBdr>
        <w:spacing w:before="200" w:after="80"/>
        <w:ind w:left="720" w:right="720"/>
        <w:jc w:val="left"/>
      </w:pPr>
      <w:r>
        <w:rPr>
          <w:rFonts w:ascii="Times New Roman" w:cs="Times New Roman" w:eastAsia="Times New Roman" w:hAnsi="Times New Roman"/>
          <w:b/>
          <w:bCs/>
          <w:color w:val="1A365D"/>
          <w:sz w:val="22"/>
          <w:szCs w:val="22"/>
          <w:u w:val="single"/>
        </w:rPr>
        <w:t xml:space="preserve">Article 1343-5</w:t>
      </w:r>
    </w:p>
    <w:p>
      <w:pPr>
        <w:pBdr>
          <w:left w:val="single" w:color="C9A227" w:sz="24"/>
        </w:pBdr>
        <w:spacing w:after="200"/>
        <w:ind w:left="720" w:right="720"/>
        <w:jc w:val="both"/>
      </w:pPr>
      <w:r>
        <w:rPr>
          <w:rFonts w:ascii="Times New Roman" w:cs="Times New Roman" w:eastAsia="Times New Roman" w:hAnsi="Times New Roman"/>
          <w:i/>
          <w:iCs/>
          <w:color w:val="666666"/>
          <w:sz w:val="22"/>
          <w:szCs w:val="22"/>
        </w:rPr>
        <w:t xml:space="preserve">Le juge peut, compte tenu de la situation du débiteur et en considération des besoins du créancier, reporter ou échelonner, dans la limite de deux années, le paiement des sommes dues. Par décision spéciale et motivée, il peut ordonner que les sommes correspondant aux échéances reportées porteront intérêt à un taux réduit au moins égal au taux légal, ou que les paiements s'imputeront d'abord sur le capital. Il peut subordonner ces mesures à l'accomplissement par le débiteur d'actes propres à faciliter ou à garantir le paiement de la dette. La décision du juge suspend les procédures d'exécution qui auraient été engagées par le créancier. Les majorations d'intérêts ou les pénalités prévues en cas de retard ne sont pas encourues pendant le délai fixé par le juge. Toute stipulation contraire est réputée non écrite. Les dispositions du présent article ne sont pas applicables aux dettes d'aliment.</w:t>
      </w:r>
    </w:p>
    <w:p>
      <w:pPr>
        <w:spacing w:before="200" w:after="120"/>
        <w:jc w:val="left"/>
      </w:pPr>
      <w:r>
        <w:rPr>
          <w:rFonts w:ascii="Times New Roman" w:cs="Times New Roman" w:eastAsia="Times New Roman" w:hAnsi="Times New Roman"/>
          <w:i/>
          <w:iCs/>
          <w:color w:val="666666"/>
          <w:sz w:val="22"/>
          <w:szCs w:val="22"/>
        </w:rPr>
        <w:t xml:space="preserve">[Si demande en justice visant, en matière immobilière, à remettre en cause des droits soumis à publicité foncière]</w:t>
      </w:r>
    </w:p>
    <w:p>
      <w:pPr>
        <w:spacing w:after="120" w:line="276"/>
        <w:jc w:val="both"/>
      </w:pPr>
      <w:r>
        <w:rPr>
          <w:rFonts w:ascii="Times New Roman" w:cs="Times New Roman" w:eastAsia="Times New Roman" w:hAnsi="Times New Roman"/>
          <w:color w:val="000000"/>
          <w:sz w:val="24"/>
          <w:szCs w:val="24"/>
        </w:rPr>
        <w:t xml:space="preserve">Lorsque la demande en justice doit faire l'objet d'une publication, </w:t>
      </w:r>
      <w:r>
        <w:rPr>
          <w:rFonts w:ascii="Times New Roman" w:cs="Times New Roman" w:eastAsia="Times New Roman" w:hAnsi="Times New Roman"/>
          <w:color w:val="000000"/>
          <w:sz w:val="24"/>
          <w:szCs w:val="24"/>
          <w:u w:val="single"/>
        </w:rPr>
        <w:t xml:space="preserve">l'article 54, 4°</w:t>
      </w:r>
      <w:r>
        <w:rPr>
          <w:rFonts w:ascii="Times New Roman" w:cs="Times New Roman" w:eastAsia="Times New Roman" w:hAnsi="Times New Roman"/>
          <w:color w:val="000000"/>
          <w:sz w:val="24"/>
          <w:szCs w:val="24"/>
        </w:rPr>
        <w:t xml:space="preserve"> du Code de procédure civile, exige que soient reproduites les mentions relatives à la désignation des immeubles exigées pour la publication au fichier immobilier qui figurent à </w:t>
      </w:r>
      <w:r>
        <w:rPr>
          <w:rFonts w:ascii="Times New Roman" w:cs="Times New Roman" w:eastAsia="Times New Roman" w:hAnsi="Times New Roman"/>
          <w:color w:val="000000"/>
          <w:sz w:val="24"/>
          <w:szCs w:val="24"/>
          <w:u w:val="single"/>
        </w:rPr>
        <w:t xml:space="preserve">l'article 76</w:t>
      </w:r>
      <w:r>
        <w:rPr>
          <w:rFonts w:ascii="Times New Roman" w:cs="Times New Roman" w:eastAsia="Times New Roman" w:hAnsi="Times New Roman"/>
          <w:color w:val="000000"/>
          <w:sz w:val="24"/>
          <w:szCs w:val="24"/>
        </w:rPr>
        <w:t xml:space="preserve"> du décret n°55-1350 du 14 octobre 1955.</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Dans un arrêt du 7 novembre 2012, la Cour de cassation est venue préciser que « le défaut de publication d'une demande tendant à l'annulation de droits résultant d'actes soumis à publicité constitue une fin de non-recevoir et non un vice de forme en affectant la validité » (Cass. 1ère civ. 7 nov. 2012, n°11-22.275).</w:t>
      </w:r>
    </w:p>
    <w:p>
      <w:pPr>
        <w:spacing w:before="200" w:after="120"/>
        <w:jc w:val="left"/>
      </w:pPr>
      <w:r>
        <w:rPr>
          <w:rFonts w:ascii="Times New Roman" w:cs="Times New Roman" w:eastAsia="Times New Roman" w:hAnsi="Times New Roman"/>
          <w:b/>
          <w:bCs/>
          <w:color w:val="1A365D"/>
          <w:sz w:val="24"/>
          <w:szCs w:val="24"/>
          <w:u w:val="single"/>
        </w:rPr>
        <w:t xml:space="preserve">Il est enfin indiqué, en application des articles 56 et 753 du Code de procédure civile :</w:t>
      </w:r>
    </w:p>
    <w:p>
      <w:pPr>
        <w:spacing w:after="120" w:line="276"/>
        <w:jc w:val="both"/>
      </w:pPr>
      <w:r>
        <w:rPr>
          <w:rFonts w:ascii="Times New Roman" w:cs="Times New Roman" w:eastAsia="Times New Roman" w:hAnsi="Times New Roman"/>
          <w:color w:val="000000"/>
          <w:sz w:val="24"/>
          <w:szCs w:val="24"/>
        </w:rPr>
        <w:t xml:space="preserve">Que, le demandeur </w:t>
      </w:r>
      <w:r>
        <w:rPr>
          <w:rFonts w:ascii="Times New Roman" w:cs="Times New Roman" w:eastAsia="Times New Roman" w:hAnsi="Times New Roman"/>
          <w:i/>
          <w:iCs/>
          <w:color w:val="A88B1F"/>
          <w:sz w:val="24"/>
          <w:szCs w:val="24"/>
        </w:rPr>
        <w:t xml:space="preserve">[consent/ ne consent pas]</w:t>
      </w:r>
      <w:r>
        <w:rPr>
          <w:rFonts w:ascii="Times New Roman" w:cs="Times New Roman" w:eastAsia="Times New Roman" w:hAnsi="Times New Roman"/>
          <w:color w:val="000000"/>
          <w:sz w:val="24"/>
          <w:szCs w:val="24"/>
        </w:rPr>
        <w:t xml:space="preserve"> à ce que la procédure se déroule sans audience en application de l'article L. 212-5-1 du Code de l'organisation judiciaire.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Que les pièces sur lesquelles la demande est fondée sont visées et jointes en fin d'acte selon bordereau.</w:t>
      </w:r>
    </w:p>
    <w:p>
      <w:pPr>
        <w:spacing w:before="240" w:after="24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6"/>
          <w:szCs w:val="36"/>
        </w:rPr>
        <w:t xml:space="preserve">PLAISE AU TRIBUNAL</w:t>
      </w:r>
    </w:p>
    <w:p>
      <w:pPr>
        <w:spacing w:after="240"/>
        <w:jc w:val="center"/>
      </w:pPr>
      <w:r>
        <w:rPr>
          <w:rFonts w:ascii="Times New Roman" w:cs="Times New Roman" w:eastAsia="Times New Roman" w:hAnsi="Times New Roman"/>
          <w:color w:val="C9A227"/>
          <w:sz w:val="24"/>
          <w:szCs w:val="24"/>
        </w:rPr>
        <w:t xml:space="preserve">━━━━━━━━━━━━━━━━━━━━━━━━━━━━━━━━━━━━━━━━━━━━</w:t>
      </w:r>
    </w:p>
    <w:p>
      <w:pPr>
        <w:spacing w:before="280" w:after="160"/>
        <w:jc w:val="left"/>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Condition de recevabilité de la demande tenant à l'exigence de recours à un mode de résolution amiable des différends préalablement à la saisine du juge</w:t>
      </w:r>
    </w:p>
    <w:p>
      <w:pPr>
        <w:spacing w:after="120" w:line="276"/>
        <w:jc w:val="both"/>
      </w:pPr>
      <w:r>
        <w:rPr>
          <w:rFonts w:ascii="Times New Roman" w:cs="Times New Roman" w:eastAsia="Times New Roman" w:hAnsi="Times New Roman"/>
          <w:color w:val="000000"/>
          <w:sz w:val="24"/>
          <w:szCs w:val="24"/>
        </w:rPr>
        <w:t xml:space="preserve">Issue de </w:t>
      </w:r>
      <w:r>
        <w:rPr>
          <w:rFonts w:ascii="Times New Roman" w:cs="Times New Roman" w:eastAsia="Times New Roman" w:hAnsi="Times New Roman"/>
          <w:color w:val="000000"/>
          <w:sz w:val="24"/>
          <w:szCs w:val="24"/>
          <w:u w:val="single"/>
        </w:rPr>
        <w:t xml:space="preserve">l'article 4</w:t>
      </w:r>
      <w:r>
        <w:rPr>
          <w:rFonts w:ascii="Times New Roman" w:cs="Times New Roman" w:eastAsia="Times New Roman" w:hAnsi="Times New Roman"/>
          <w:color w:val="000000"/>
          <w:sz w:val="24"/>
          <w:szCs w:val="24"/>
        </w:rPr>
        <w:t xml:space="preserve"> du </w:t>
      </w:r>
      <w:r>
        <w:rPr>
          <w:rFonts w:ascii="Times New Roman" w:cs="Times New Roman" w:eastAsia="Times New Roman" w:hAnsi="Times New Roman"/>
          <w:color w:val="000000"/>
          <w:sz w:val="24"/>
          <w:szCs w:val="24"/>
          <w:u w:val="single"/>
        </w:rPr>
        <w:t xml:space="preserve">décret n° 2019-1333 du 11 décembre 2019</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u w:val="single"/>
        </w:rPr>
        <w:t xml:space="preserve">l'article 750-1</w:t>
      </w:r>
      <w:r>
        <w:rPr>
          <w:rFonts w:ascii="Times New Roman" w:cs="Times New Roman" w:eastAsia="Times New Roman" w:hAnsi="Times New Roman"/>
          <w:color w:val="000000"/>
          <w:sz w:val="24"/>
          <w:szCs w:val="24"/>
        </w:rPr>
        <w:t xml:space="preserve"> du Code de procédure civile dispose que, devant le Tribunal judiciaire, « </w:t>
      </w:r>
      <w:r>
        <w:rPr>
          <w:rFonts w:ascii="Times New Roman" w:cs="Times New Roman" w:eastAsia="Times New Roman" w:hAnsi="Times New Roman"/>
          <w:i/>
          <w:iCs/>
          <w:color w:val="000000"/>
          <w:sz w:val="24"/>
          <w:szCs w:val="24"/>
        </w:rPr>
        <w:t xml:space="preserve">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matières mentionnées à l'article R. 211-3-4 du Code de l'organisation judiciaire </w:t>
      </w:r>
      <w:r>
        <w:rPr>
          <w:rFonts w:ascii="Times New Roman" w:cs="Times New Roman" w:eastAsia="Times New Roman" w:hAnsi="Times New Roman"/>
          <w:color w:val="000000"/>
          <w:sz w:val="24"/>
          <w:szCs w:val="24"/>
        </w:rPr>
        <w:t xml:space="preserve">».</w:t>
      </w:r>
    </w:p>
    <w:p>
      <w:pPr>
        <w:spacing w:after="120" w:line="276"/>
        <w:jc w:val="both"/>
      </w:pPr>
      <w:r>
        <w:rPr>
          <w:rFonts w:ascii="Times New Roman" w:cs="Times New Roman" w:eastAsia="Times New Roman" w:hAnsi="Times New Roman"/>
          <w:color w:val="000000"/>
          <w:sz w:val="24"/>
          <w:szCs w:val="24"/>
        </w:rPr>
        <w:t xml:space="preserve">Toutefois, </w:t>
      </w:r>
      <w:r>
        <w:rPr>
          <w:rFonts w:ascii="Times New Roman" w:cs="Times New Roman" w:eastAsia="Times New Roman" w:hAnsi="Times New Roman"/>
          <w:color w:val="000000"/>
          <w:sz w:val="24"/>
          <w:szCs w:val="24"/>
          <w:u w:val="single"/>
        </w:rPr>
        <w:t xml:space="preserve">l'article 750-1, II</w:t>
      </w:r>
      <w:r>
        <w:rPr>
          <w:rFonts w:ascii="Times New Roman" w:cs="Times New Roman" w:eastAsia="Times New Roman" w:hAnsi="Times New Roman"/>
          <w:color w:val="000000"/>
          <w:sz w:val="24"/>
          <w:szCs w:val="24"/>
        </w:rPr>
        <w:t xml:space="preserve"> du Code de procédure civile prévoit plusieurs cas de dispense. Ces exceptions sont les suivantes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Si l'une des parties au moins sollicite l'homologation d'un accord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Lorsque l'exercice d'un recours préalable est imposé auprès de l'auteur de la décision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Si l'absence de recours à l'un des modes de résolution amiable mentionnés au I est justifiée par un motif légitime, notamment l'indisponibilité de conciliateurs de justice dans un délai raisonnable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Si le juge ou l'autorité administrative doit, en application d'une disposition particulière, procéder à une tentative préalable de conciliation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Si le créancier a vainement engagé une procédure simplifiée de recouvrement des petites créances, conformément à l'article L. 125-1 du code des procédures civiles d'exécution.</w:t>
      </w:r>
    </w:p>
    <w:p>
      <w:pPr>
        <w:spacing w:after="120" w:line="276"/>
        <w:jc w:val="both"/>
      </w:pPr>
      <w:r>
        <w:rPr>
          <w:rFonts w:ascii="Times New Roman" w:cs="Times New Roman" w:eastAsia="Times New Roman" w:hAnsi="Times New Roman"/>
          <w:color w:val="000000"/>
          <w:sz w:val="24"/>
          <w:szCs w:val="24"/>
        </w:rPr>
        <w:t xml:space="preserve">En l'espèce, </w:t>
      </w:r>
      <w:r>
        <w:rPr>
          <w:rFonts w:ascii="Times New Roman" w:cs="Times New Roman" w:eastAsia="Times New Roman" w:hAnsi="Times New Roman"/>
          <w:i/>
          <w:iCs/>
          <w:color w:val="A88B1F"/>
          <w:sz w:val="24"/>
          <w:szCs w:val="24"/>
        </w:rPr>
        <w:t xml:space="preserve">[justifier la tentative de règlement amiable ou l'exception applicable]</w:t>
      </w:r>
      <w:r>
        <w:rPr>
          <w:rFonts w:ascii="Times New Roman" w:cs="Times New Roman" w:eastAsia="Times New Roman" w:hAnsi="Times New Roman"/>
          <w:color w:val="000000"/>
          <w:sz w:val="24"/>
          <w:szCs w:val="24"/>
        </w:rPr>
        <w:t xml:space="preserv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La demande est donc recevable de ce chef.</w:t>
      </w:r>
    </w:p>
    <w:p>
      <w:pPr>
        <w:spacing w:before="240" w:after="240"/>
        <w:jc w:val="center"/>
      </w:pPr>
      <w:r>
        <w:rPr>
          <w:rFonts w:ascii="Times New Roman" w:cs="Times New Roman" w:eastAsia="Times New Roman" w:hAnsi="Times New Roman"/>
          <w:color w:val="C9A227"/>
          <w:sz w:val="24"/>
          <w:szCs w:val="24"/>
        </w:rPr>
        <w:t xml:space="preserve">◆ ◆ ◆</w:t>
      </w:r>
    </w:p>
    <w:p>
      <w:pPr>
        <w:spacing w:before="360" w:after="200"/>
        <w:jc w:val="left"/>
      </w:pPr>
      <w:r>
        <w:rPr>
          <w:rFonts w:ascii="Times New Roman" w:cs="Times New Roman" w:eastAsia="Times New Roman" w:hAnsi="Times New Roman"/>
          <w:b/>
          <w:bCs/>
          <w:color w:val="A88B1F"/>
          <w:sz w:val="26"/>
          <w:szCs w:val="26"/>
        </w:rPr>
        <w:t xml:space="preserve">III. </w:t>
      </w:r>
      <w:r>
        <w:rPr>
          <w:rFonts w:ascii="Times New Roman" w:cs="Times New Roman" w:eastAsia="Times New Roman" w:hAnsi="Times New Roman"/>
          <w:b/>
          <w:bCs/>
          <w:color w:val="1A365D"/>
          <w:sz w:val="26"/>
          <w:szCs w:val="26"/>
          <w:u w:val="single"/>
        </w:rPr>
        <w:t xml:space="preserve">DISCUSSION</w:t>
      </w:r>
    </w:p>
    <w:p>
      <w:pPr>
        <w:spacing w:before="280" w:after="160"/>
        <w:jc w:val="left"/>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l'existence d'un vice caché</w:t>
      </w:r>
    </w:p>
    <w:p>
      <w:pPr>
        <w:spacing w:after="120" w:line="276"/>
        <w:jc w:val="both"/>
      </w:pPr>
      <w:r>
        <w:rPr>
          <w:rFonts w:ascii="Times New Roman" w:cs="Times New Roman" w:eastAsia="Times New Roman" w:hAnsi="Times New Roman"/>
          <w:color w:val="000000"/>
          <w:sz w:val="24"/>
          <w:szCs w:val="24"/>
        </w:rPr>
        <w:t xml:space="preserve">L'article 1641 du Code civil dispose : « </w:t>
      </w:r>
      <w:r>
        <w:rPr>
          <w:rFonts w:ascii="Times New Roman" w:cs="Times New Roman" w:eastAsia="Times New Roman" w:hAnsi="Times New Roman"/>
          <w:i/>
          <w:iCs/>
          <w:color w:val="000000"/>
          <w:sz w:val="24"/>
          <w:szCs w:val="24"/>
        </w:rPr>
        <w:t xml:space="preserve">Le vendeur est tenu de la garantie à raison des défauts cachés de la chose vendue qui la rendent impropre à l'usage auquel on la destine, ou qui diminuent tellement cet usage que l'acheteur ne l'aurait pas acquise, ou n'en aurait donné qu'un moindre prix, s'il les avait connus</w:t>
      </w:r>
      <w:r>
        <w:rPr>
          <w:rFonts w:ascii="Times New Roman" w:cs="Times New Roman" w:eastAsia="Times New Roman" w:hAnsi="Times New Roman"/>
          <w:color w:val="000000"/>
          <w:sz w:val="24"/>
          <w:szCs w:val="24"/>
        </w:rPr>
        <w:t xml:space="preserve"> ».</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La jurisprudence a dégagé quatre conditions cumulatives pour caractériser un vice caché :</w:t>
      </w:r>
    </w:p>
    <w:p>
      <w:pPr>
        <w:spacing w:before="200" w:after="120"/>
        <w:ind w:left="360"/>
        <w:jc w:val="left"/>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Le vice doit être caché</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Le vice est caché lorsqu'il n'est pas apparent lors de la vente et ne peut être décelé par un examen normal de la chose par un acheteur normalement diligent (Cass. 3e civ., 14 mars 2006, n° 05-10.733).</w:t>
      </w:r>
    </w:p>
    <w:p>
      <w:pPr>
        <w:spacing w:after="120" w:line="276"/>
        <w:jc w:val="both"/>
      </w:pPr>
      <w:r>
        <w:rPr>
          <w:rFonts w:ascii="Times New Roman" w:cs="Times New Roman" w:eastAsia="Times New Roman" w:hAnsi="Times New Roman"/>
          <w:color w:val="000000"/>
          <w:sz w:val="24"/>
          <w:szCs w:val="24"/>
        </w:rPr>
        <w:t xml:space="preserve">En l'espèce, le vice était indécelable lors de la vente car </w:t>
      </w:r>
      <w:r>
        <w:rPr>
          <w:rFonts w:ascii="Times New Roman" w:cs="Times New Roman" w:eastAsia="Times New Roman" w:hAnsi="Times New Roman"/>
          <w:i/>
          <w:iCs/>
          <w:color w:val="A88B1F"/>
          <w:sz w:val="24"/>
          <w:szCs w:val="24"/>
        </w:rPr>
        <w:t xml:space="preserve">[expliquer pourquoi le vice n'était pas apparent]</w:t>
      </w:r>
      <w:r>
        <w:rPr>
          <w:rFonts w:ascii="Times New Roman" w:cs="Times New Roman" w:eastAsia="Times New Roman" w:hAnsi="Times New Roman"/>
          <w:color w:val="000000"/>
          <w:sz w:val="24"/>
          <w:szCs w:val="24"/>
        </w:rPr>
        <w:t xml:space="preserve">.</w:t>
      </w:r>
    </w:p>
    <w:p>
      <w:pPr>
        <w:spacing w:before="200" w:after="120"/>
        <w:ind w:left="360"/>
        <w:jc w:val="left"/>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Le vice doit être antérieur à la vente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Le vice doit exister, au moins en germe, au moment du transfert de propriété (Cass. 1re civ., 20 mars 1989, n° 87-14.782).</w:t>
      </w:r>
    </w:p>
    <w:p>
      <w:pPr>
        <w:spacing w:after="120" w:line="276"/>
        <w:jc w:val="both"/>
      </w:pPr>
      <w:r>
        <w:rPr>
          <w:rFonts w:ascii="Times New Roman" w:cs="Times New Roman" w:eastAsia="Times New Roman" w:hAnsi="Times New Roman"/>
          <w:color w:val="000000"/>
          <w:sz w:val="24"/>
          <w:szCs w:val="24"/>
        </w:rPr>
        <w:t xml:space="preserve">En l'espèce, l'antériorité du vice est établie par </w:t>
      </w:r>
      <w:r>
        <w:rPr>
          <w:rFonts w:ascii="Times New Roman" w:cs="Times New Roman" w:eastAsia="Times New Roman" w:hAnsi="Times New Roman"/>
          <w:i/>
          <w:iCs/>
          <w:color w:val="A88B1F"/>
          <w:sz w:val="24"/>
          <w:szCs w:val="24"/>
        </w:rPr>
        <w:t xml:space="preserve">[éléments démontrant l'antériorité : expertise, témoignages, etc.]</w:t>
      </w:r>
      <w:r>
        <w:rPr>
          <w:rFonts w:ascii="Times New Roman" w:cs="Times New Roman" w:eastAsia="Times New Roman" w:hAnsi="Times New Roman"/>
          <w:color w:val="000000"/>
          <w:sz w:val="24"/>
          <w:szCs w:val="24"/>
        </w:rPr>
        <w:t xml:space="preserve">.</w:t>
      </w:r>
    </w:p>
    <w:p>
      <w:pPr>
        <w:spacing w:before="200" w:after="120"/>
        <w:ind w:left="360"/>
        <w:jc w:val="left"/>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Le vice doit être grave</w:t>
      </w:r>
    </w:p>
    <w:p>
      <w:pPr>
        <w:spacing w:after="120" w:line="276"/>
        <w:jc w:val="both"/>
      </w:pPr>
      <w:r>
        <w:rPr>
          <w:rFonts w:ascii="Times New Roman" w:cs="Times New Roman" w:eastAsia="Times New Roman" w:hAnsi="Times New Roman"/>
          <w:color w:val="000000"/>
          <w:sz w:val="24"/>
          <w:szCs w:val="24"/>
        </w:rPr>
        <w:t xml:space="preserve">Le vice doit rendre la chose impropre à son usage normal ou diminuer tellement cet usage que l'acheteur ne l'aurait pas acquise ou n'en aurait donné qu'un moindre prix (art. 1641 C. civ.).</w:t>
      </w:r>
    </w:p>
    <w:p>
      <w:pPr>
        <w:spacing w:after="120" w:line="276"/>
        <w:jc w:val="both"/>
      </w:pPr>
      <w:r>
        <w:rPr>
          <w:rFonts w:ascii="Times New Roman" w:cs="Times New Roman" w:eastAsia="Times New Roman" w:hAnsi="Times New Roman"/>
          <w:color w:val="000000"/>
          <w:sz w:val="24"/>
          <w:szCs w:val="24"/>
        </w:rPr>
        <w:t xml:space="preserve">En l'espèce, le vice affecte gravement l'usage du bien car </w:t>
      </w:r>
      <w:r>
        <w:rPr>
          <w:rFonts w:ascii="Times New Roman" w:cs="Times New Roman" w:eastAsia="Times New Roman" w:hAnsi="Times New Roman"/>
          <w:i/>
          <w:iCs/>
          <w:color w:val="A88B1F"/>
          <w:sz w:val="24"/>
          <w:szCs w:val="24"/>
        </w:rPr>
        <w:t xml:space="preserve">[décrire l'impact du vice sur l'usage]</w:t>
      </w:r>
      <w:r>
        <w:rPr>
          <w:rFonts w:ascii="Times New Roman" w:cs="Times New Roman" w:eastAsia="Times New Roman" w:hAnsi="Times New Roman"/>
          <w:color w:val="000000"/>
          <w:sz w:val="24"/>
          <w:szCs w:val="24"/>
        </w:rPr>
        <w:t xml:space="preserve">.</w:t>
      </w:r>
    </w:p>
    <w:p>
      <w:pPr>
        <w:spacing w:before="200" w:after="120"/>
        <w:ind w:left="360"/>
        <w:jc w:val="left"/>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Le vice doit être inhérent à la chose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Le vice doit être intrinsèque à la chose vendue et non résulter d'une cause extérieure.</w:t>
      </w:r>
    </w:p>
    <w:p>
      <w:pPr>
        <w:spacing w:after="120" w:line="276"/>
        <w:jc w:val="both"/>
      </w:pPr>
      <w:r>
        <w:rPr>
          <w:rFonts w:ascii="Times New Roman" w:cs="Times New Roman" w:eastAsia="Times New Roman" w:hAnsi="Times New Roman"/>
          <w:color w:val="000000"/>
          <w:sz w:val="24"/>
          <w:szCs w:val="24"/>
        </w:rPr>
        <w:t xml:space="preserve">En l'espèce, le vice est bien inhérent au bien vendu car </w:t>
      </w:r>
      <w:r>
        <w:rPr>
          <w:rFonts w:ascii="Times New Roman" w:cs="Times New Roman" w:eastAsia="Times New Roman" w:hAnsi="Times New Roman"/>
          <w:i/>
          <w:iCs/>
          <w:color w:val="A88B1F"/>
          <w:sz w:val="24"/>
          <w:szCs w:val="24"/>
        </w:rPr>
        <w:t xml:space="preserve">[expliquer]</w:t>
      </w:r>
      <w:r>
        <w:rPr>
          <w:rFonts w:ascii="Times New Roman" w:cs="Times New Roman" w:eastAsia="Times New Roman" w:hAnsi="Times New Roman"/>
          <w:color w:val="000000"/>
          <w:sz w:val="24"/>
          <w:szCs w:val="24"/>
        </w:rPr>
        <w:t xml:space="preserve">.</w:t>
      </w:r>
    </w:p>
    <w:p>
      <w:pPr>
        <w:spacing w:before="280" w:after="160"/>
        <w:jc w:val="left"/>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le respect du délai de l'action</w:t>
      </w:r>
    </w:p>
    <w:p>
      <w:pPr>
        <w:spacing w:after="120" w:line="276"/>
        <w:jc w:val="both"/>
      </w:pPr>
      <w:r>
        <w:rPr>
          <w:rFonts w:ascii="Times New Roman" w:cs="Times New Roman" w:eastAsia="Times New Roman" w:hAnsi="Times New Roman"/>
          <w:color w:val="000000"/>
          <w:sz w:val="24"/>
          <w:szCs w:val="24"/>
        </w:rPr>
        <w:t xml:space="preserve">L'article 1648, alinéa 1er, du Code civil dispose : « </w:t>
      </w:r>
      <w:r>
        <w:rPr>
          <w:rFonts w:ascii="Times New Roman" w:cs="Times New Roman" w:eastAsia="Times New Roman" w:hAnsi="Times New Roman"/>
          <w:i/>
          <w:iCs/>
          <w:color w:val="000000"/>
          <w:sz w:val="24"/>
          <w:szCs w:val="24"/>
        </w:rPr>
        <w:t xml:space="preserve">L'action résultant des vices rédhibitoires doit être intentée par l'acquéreur dans un délai de deux ans à compter de la découverte du vice</w:t>
      </w:r>
      <w:r>
        <w:rPr>
          <w:rFonts w:ascii="Times New Roman" w:cs="Times New Roman" w:eastAsia="Times New Roman" w:hAnsi="Times New Roman"/>
          <w:color w:val="000000"/>
          <w:sz w:val="24"/>
          <w:szCs w:val="24"/>
        </w:rPr>
        <w:t xml:space="preserve"> ».</w:t>
      </w:r>
    </w:p>
    <w:p>
      <w:pPr>
        <w:spacing w:after="120" w:line="276"/>
        <w:jc w:val="both"/>
      </w:pPr>
      <w:r>
        <w:rPr>
          <w:rFonts w:ascii="Times New Roman" w:cs="Times New Roman" w:eastAsia="Times New Roman" w:hAnsi="Times New Roman"/>
          <w:color w:val="000000"/>
          <w:sz w:val="24"/>
          <w:szCs w:val="24"/>
        </w:rPr>
        <w:t xml:space="preserve">En l'espèce, le vice a été découvert le </w:t>
      </w:r>
      <w:r>
        <w:rPr>
          <w:rFonts w:ascii="Times New Roman" w:cs="Times New Roman" w:eastAsia="Times New Roman" w:hAnsi="Times New Roman"/>
          <w:i/>
          <w:iCs/>
          <w:color w:val="A88B1F"/>
          <w:sz w:val="24"/>
          <w:szCs w:val="24"/>
        </w:rPr>
        <w:t xml:space="preserve">[date de découverte]</w:t>
      </w:r>
      <w:r>
        <w:rPr>
          <w:rFonts w:ascii="Times New Roman" w:cs="Times New Roman" w:eastAsia="Times New Roman" w:hAnsi="Times New Roman"/>
          <w:color w:val="000000"/>
          <w:sz w:val="24"/>
          <w:szCs w:val="24"/>
        </w:rPr>
        <w:t xml:space="preserve">, comme en atteste </w:t>
      </w:r>
      <w:r>
        <w:rPr>
          <w:rFonts w:ascii="Times New Roman" w:cs="Times New Roman" w:eastAsia="Times New Roman" w:hAnsi="Times New Roman"/>
          <w:i/>
          <w:iCs/>
          <w:color w:val="A88B1F"/>
          <w:sz w:val="24"/>
          <w:szCs w:val="24"/>
        </w:rPr>
        <w:t xml:space="preserve">[élément de preuve]</w:t>
      </w:r>
      <w:r>
        <w:rPr>
          <w:rFonts w:ascii="Times New Roman" w:cs="Times New Roman" w:eastAsia="Times New Roman" w:hAnsi="Times New Roman"/>
          <w:color w:val="000000"/>
          <w:sz w:val="24"/>
          <w:szCs w:val="24"/>
        </w:rPr>
        <w:t xml:space="preserve">. La présente assignation étant délivrée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color w:val="000000"/>
          <w:sz w:val="24"/>
          <w:szCs w:val="24"/>
        </w:rPr>
        <w:t xml:space="preserve">, l'action est donc exercée dans le délai légal de deux ans.</w:t>
      </w:r>
    </w:p>
    <w:p>
      <w:pPr>
        <w:spacing w:before="280" w:after="160"/>
        <w:jc w:val="left"/>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 choix de l'action estimatoire</w:t>
      </w:r>
    </w:p>
    <w:p>
      <w:pPr>
        <w:spacing w:after="120" w:line="276"/>
        <w:jc w:val="both"/>
      </w:pPr>
      <w:r>
        <w:rPr>
          <w:rFonts w:ascii="Times New Roman" w:cs="Times New Roman" w:eastAsia="Times New Roman" w:hAnsi="Times New Roman"/>
          <w:color w:val="000000"/>
          <w:sz w:val="24"/>
          <w:szCs w:val="24"/>
        </w:rPr>
        <w:t xml:space="preserve">L'article 1644 du Code civil offre à l'acheteur une option entre deux actions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L'action rédhibitoire, tendant à la résolution de la vente avec restitution du prix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L'action estimatoire, tendant à la réduction du prix à concurrence de la moins-value engendrée par le vice.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Ce choix appartient exclusivement à l'acquéreur et ne peut être remis en cause par le vendeur (Cass. 1re civ., 19 février 2014, n° 12-15.520).</w:t>
      </w:r>
    </w:p>
    <w:p>
      <w:pPr>
        <w:spacing w:after="120" w:line="276"/>
        <w:jc w:val="both"/>
      </w:pPr>
      <w:r>
        <w:rPr>
          <w:rFonts w:ascii="Times New Roman" w:cs="Times New Roman" w:eastAsia="Times New Roman" w:hAnsi="Times New Roman"/>
          <w:color w:val="000000"/>
          <w:sz w:val="24"/>
          <w:szCs w:val="24"/>
        </w:rPr>
        <w:t xml:space="preserve">En l'espèce, le demandeur opte pour l'action estimatoire car </w:t>
      </w:r>
      <w:r>
        <w:rPr>
          <w:rFonts w:ascii="Times New Roman" w:cs="Times New Roman" w:eastAsia="Times New Roman" w:hAnsi="Times New Roman"/>
          <w:i/>
          <w:iCs/>
          <w:color w:val="A88B1F"/>
          <w:sz w:val="24"/>
          <w:szCs w:val="24"/>
        </w:rPr>
        <w:t xml:space="preserve">[justifier le choix : le bien reste utilisable moyennant réparation, l'acquéreur souhaite le conserver pour des raisons personnelles ou professionnelles, le vice ne rend pas le bien totalement impropre à son usage, etc.]</w:t>
      </w:r>
      <w:r>
        <w:rPr>
          <w:rFonts w:ascii="Times New Roman" w:cs="Times New Roman" w:eastAsia="Times New Roman" w:hAnsi="Times New Roman"/>
          <w:color w:val="000000"/>
          <w:sz w:val="24"/>
          <w:szCs w:val="24"/>
        </w:rPr>
        <w:t xml:space="preserve">.</w:t>
      </w:r>
    </w:p>
    <w:p>
      <w:pPr>
        <w:spacing w:before="280" w:after="160"/>
        <w:jc w:val="left"/>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Sur le quantum de la réduction du prix</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La réduction du prix au titre de l'action estimatoire doit correspondre à la différence entre le prix payé et la valeur qu'aurait eu la chose si elle avait été exempte de vice, c'est-à-dire le moindre prix qu'aurait accepté de payer l'acheteur s'il avait connu le vice (Cass. 3e civ., 27 avril 2017, n° 16-11.653).</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Il est rappelé que l'action estimatoire se limite à la restitution partielle du prix et ne permet pas d'obtenir le remboursement des coûts de réparation, lesquels relèvent de l'action en dommages-intérêts de l'article 1645 du Code civil (Cass. 1re civ., 6 avril 2016, n° 15-12.402).</w:t>
      </w:r>
    </w:p>
    <w:p>
      <w:pPr>
        <w:spacing w:after="120" w:line="276"/>
        <w:jc w:val="both"/>
      </w:pPr>
      <w:r>
        <w:rPr>
          <w:rFonts w:ascii="Times New Roman" w:cs="Times New Roman" w:eastAsia="Times New Roman" w:hAnsi="Times New Roman"/>
          <w:color w:val="000000"/>
          <w:sz w:val="24"/>
          <w:szCs w:val="24"/>
        </w:rPr>
        <w:t xml:space="preserve">En l'espèce, l'expert judiciaire a évalué la moins-value affectant le bien du fait du vice à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bCs/>
          <w:i w:val="false"/>
          <w:iCs w:val="false"/>
          <w:color w:val="000000"/>
          <w:sz w:val="24"/>
          <w:szCs w:val="24"/>
        </w:rPr>
        <w:t xml:space="preserve"> euros</w:t>
      </w:r>
      <w:r>
        <w:rPr>
          <w:rFonts w:ascii="Times New Roman" w:cs="Times New Roman" w:eastAsia="Times New Roman" w:hAnsi="Times New Roman"/>
          <w:color w:val="000000"/>
          <w:sz w:val="24"/>
          <w:szCs w:val="24"/>
        </w:rPr>
        <w:t xml:space="preserve">, correspondant à </w:t>
      </w:r>
      <w:r>
        <w:rPr>
          <w:rFonts w:ascii="Times New Roman" w:cs="Times New Roman" w:eastAsia="Times New Roman" w:hAnsi="Times New Roman"/>
          <w:i/>
          <w:iCs/>
          <w:color w:val="A88B1F"/>
          <w:sz w:val="24"/>
          <w:szCs w:val="24"/>
        </w:rPr>
        <w:t xml:space="preserve">[méthode d'évaluation retenue par l'expert]</w:t>
      </w:r>
      <w:r>
        <w:rPr>
          <w:rFonts w:ascii="Times New Roman" w:cs="Times New Roman" w:eastAsia="Times New Roman" w:hAnsi="Times New Roman"/>
          <w:color w:val="000000"/>
          <w:sz w:val="24"/>
          <w:szCs w:val="24"/>
        </w:rPr>
        <w:t xml:space="preserv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Le demandeur sollicite en conséquence la condamnation du défendeur au paiement de cette somme au titre de la réduction du prix.</w:t>
      </w:r>
    </w:p>
    <w:p>
      <w:pPr>
        <w:spacing w:before="280" w:after="160"/>
        <w:jc w:val="left"/>
      </w:pPr>
      <w:r>
        <w:rPr>
          <w:rFonts w:ascii="Times New Roman" w:cs="Times New Roman" w:eastAsia="Times New Roman" w:hAnsi="Times New Roman"/>
          <w:b/>
          <w:bCs/>
          <w:color w:val="A88B1F"/>
          <w:sz w:val="24"/>
          <w:szCs w:val="24"/>
        </w:rPr>
        <w:t xml:space="preserve">E. </w:t>
      </w:r>
      <w:r>
        <w:rPr>
          <w:rFonts w:ascii="Times New Roman" w:cs="Times New Roman" w:eastAsia="Times New Roman" w:hAnsi="Times New Roman"/>
          <w:b/>
          <w:bCs/>
          <w:color w:val="1A365D"/>
          <w:sz w:val="24"/>
          <w:szCs w:val="24"/>
        </w:rPr>
        <w:t xml:space="preserve">Sur les dommages-intérêts complémentaires</w:t>
      </w:r>
    </w:p>
    <w:p>
      <w:pPr>
        <w:spacing w:after="120" w:line="276"/>
        <w:jc w:val="both"/>
      </w:pPr>
      <w:r>
        <w:rPr>
          <w:rFonts w:ascii="Times New Roman" w:cs="Times New Roman" w:eastAsia="Times New Roman" w:hAnsi="Times New Roman"/>
          <w:color w:val="000000"/>
          <w:sz w:val="24"/>
          <w:szCs w:val="24"/>
        </w:rPr>
        <w:t xml:space="preserve">L'article 1645 du Code civil dispose : « </w:t>
      </w:r>
      <w:r>
        <w:rPr>
          <w:rFonts w:ascii="Times New Roman" w:cs="Times New Roman" w:eastAsia="Times New Roman" w:hAnsi="Times New Roman"/>
          <w:i/>
          <w:iCs/>
          <w:color w:val="000000"/>
          <w:sz w:val="24"/>
          <w:szCs w:val="24"/>
        </w:rPr>
        <w:t xml:space="preserve">Si le vendeur connaissait les vices de la chose, il est tenu, outre la restitution du prix qu'il en a reçu, de tous les dommages et intérêts envers l'acheteur</w:t>
      </w:r>
      <w:r>
        <w:rPr>
          <w:rFonts w:ascii="Times New Roman" w:cs="Times New Roman" w:eastAsia="Times New Roman" w:hAnsi="Times New Roman"/>
          <w:color w:val="000000"/>
          <w:sz w:val="24"/>
          <w:szCs w:val="24"/>
        </w:rPr>
        <w:t xml:space="preserve"> ».</w:t>
      </w:r>
    </w:p>
    <w:p>
      <w:pPr>
        <w:spacing w:before="200" w:after="120"/>
        <w:ind w:left="360"/>
        <w:jc w:val="left"/>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la présomption irréfragable de connaissance du vice par le vendeur professionnel</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Il est de jurisprudence constante que le vendeur professionnel est présumé, de manière irréfragable, connaître les vices de la chose qu'il vend (Cass. 1re civ., 24 novembre 1954 ; jurisprudence constante depuis). Cette présomption ne peut être renversée par aucune preuve contraire, même celle du caractère indécelable des vices (Cass. 1re civ., 21 novembre 1972).</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La Cour de cassation a récemment confirmé que cette présomption ne porte pas une atteinte disproportionnée au droit du vendeur professionnel au procès équitable garanti par l'article 6, § 1 de la Convention européenne des droits de l'homme (Cass. com., 5 juillet 2023, n° 22-11.621).</w:t>
      </w:r>
    </w:p>
    <w:p>
      <w:pPr>
        <w:spacing w:after="120"/>
        <w:jc w:val="left"/>
      </w:pPr>
      <w:r>
        <w:rPr>
          <w:rFonts w:ascii="Times New Roman" w:cs="Times New Roman" w:eastAsia="Times New Roman" w:hAnsi="Times New Roman"/>
          <w:i/>
          <w:iCs/>
          <w:color w:val="666666"/>
          <w:sz w:val="22"/>
          <w:szCs w:val="22"/>
        </w:rPr>
        <w:t xml:space="preserve">[Si vendeur professionnel]</w:t>
      </w:r>
    </w:p>
    <w:p>
      <w:pPr>
        <w:spacing w:after="120" w:line="276"/>
        <w:jc w:val="both"/>
      </w:pPr>
      <w:r>
        <w:rPr>
          <w:rFonts w:ascii="Times New Roman" w:cs="Times New Roman" w:eastAsia="Times New Roman" w:hAnsi="Times New Roman"/>
          <w:color w:val="000000"/>
          <w:sz w:val="24"/>
          <w:szCs w:val="24"/>
        </w:rPr>
        <w:t xml:space="preserve">En l'espèce, le défendeur exerce l'activité de </w:t>
      </w:r>
      <w:r>
        <w:rPr>
          <w:rFonts w:ascii="Times New Roman" w:cs="Times New Roman" w:eastAsia="Times New Roman" w:hAnsi="Times New Roman"/>
          <w:i/>
          <w:iCs/>
          <w:color w:val="A88B1F"/>
          <w:sz w:val="24"/>
          <w:szCs w:val="24"/>
        </w:rPr>
        <w:t xml:space="preserve">[activité]</w:t>
      </w:r>
      <w:r>
        <w:rPr>
          <w:rFonts w:ascii="Times New Roman" w:cs="Times New Roman" w:eastAsia="Times New Roman" w:hAnsi="Times New Roman"/>
          <w:color w:val="000000"/>
          <w:sz w:val="24"/>
          <w:szCs w:val="24"/>
        </w:rPr>
        <w:t xml:space="preserve"> et revêt incontestablement la qualité de vendeur professionnel. Il est donc présumé avoir eu connaissance du vice et ne peut s'exonérer de son obligation de réparer l'intégralité du préjudice subi par le demandeur.</w:t>
      </w:r>
    </w:p>
    <w:p>
      <w:pPr>
        <w:spacing w:before="160" w:after="120"/>
        <w:jc w:val="left"/>
      </w:pPr>
      <w:r>
        <w:rPr>
          <w:rFonts w:ascii="Times New Roman" w:cs="Times New Roman" w:eastAsia="Times New Roman" w:hAnsi="Times New Roman"/>
          <w:i/>
          <w:iCs/>
          <w:color w:val="666666"/>
          <w:sz w:val="22"/>
          <w:szCs w:val="22"/>
        </w:rPr>
        <w:t xml:space="preserve">[Si vendeur de mauvaise foi]</w:t>
      </w:r>
    </w:p>
    <w:p>
      <w:pPr>
        <w:spacing w:after="120" w:line="276"/>
        <w:jc w:val="both"/>
      </w:pPr>
      <w:r>
        <w:rPr>
          <w:rFonts w:ascii="Times New Roman" w:cs="Times New Roman" w:eastAsia="Times New Roman" w:hAnsi="Times New Roman"/>
          <w:i/>
          <w:iCs/>
          <w:color w:val="000000"/>
          <w:sz w:val="24"/>
          <w:szCs w:val="24"/>
        </w:rPr>
        <w:t xml:space="preserve">En l'espèce, il sera démontré que le défendeur avait effectivement connaissance du vice au moment de la vente, comme en atteste </w:t>
      </w:r>
      <w:r>
        <w:rPr>
          <w:rFonts w:ascii="Times New Roman" w:cs="Times New Roman" w:eastAsia="Times New Roman" w:hAnsi="Times New Roman"/>
          <w:i/>
          <w:iCs/>
          <w:color w:val="A88B1F"/>
          <w:sz w:val="24"/>
          <w:szCs w:val="24"/>
        </w:rPr>
        <w:t xml:space="preserve">[éléments de preuve de la mauvaise foi]</w:t>
      </w:r>
      <w:r>
        <w:rPr>
          <w:rFonts w:ascii="Times New Roman" w:cs="Times New Roman" w:eastAsia="Times New Roman" w:hAnsi="Times New Roman"/>
          <w:i/>
          <w:iCs/>
          <w:color w:val="000000"/>
          <w:sz w:val="24"/>
          <w:szCs w:val="24"/>
        </w:rPr>
        <w:t xml:space="preserve">.</w:t>
      </w:r>
    </w:p>
    <w:p>
      <w:pPr>
        <w:spacing w:before="200" w:after="120"/>
        <w:ind w:left="360"/>
        <w:jc w:val="left"/>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les préjudices indemnisables</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Conformément à l'article 1645 du Code civil, le vendeur qui connaissait le vice est tenu de réparer tous les dommages et intérêts envers l'acheteur, sans limitation (Cass. 3e civ., 8 octobre 1997, n° 95-19.808 ; Cass. 1re civ., 1er juillet 2010, n° 09-16.114).</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En l'espèce, le demandeur a subi les préjudices suivants, directement imputables au vice caché :</w:t>
      </w:r>
    </w:p>
    <w:p>
      <w:pPr>
        <w:spacing w:after="80"/>
        <w:jc w:val="left"/>
      </w:pPr>
      <w:r>
        <w:rPr>
          <w:rFonts w:ascii="Times New Roman" w:cs="Times New Roman" w:eastAsia="Times New Roman" w:hAnsi="Times New Roman"/>
          <w:i/>
          <w:iCs/>
          <w:color w:val="666666"/>
          <w:sz w:val="22"/>
          <w:szCs w:val="22"/>
        </w:rPr>
        <w:t xml:space="preserve">[Adapter selon les préjudices effectivement subis :]</w:t>
      </w:r>
    </w:p>
    <w:p>
      <w:pPr>
        <w:pBdr>
          <w:left w:val="single" w:color="C9A227" w:sz="24"/>
        </w:pBdr>
        <w:spacing w:after="120" w:line="276"/>
        <w:ind w:left="720"/>
        <w:jc w:val="both"/>
      </w:pPr>
      <w:r>
        <w:rPr>
          <w:rFonts w:ascii="Times New Roman" w:cs="Times New Roman" w:eastAsia="Times New Roman" w:hAnsi="Times New Roman"/>
          <w:b/>
          <w:bCs/>
          <w:color w:val="1A365D"/>
          <w:sz w:val="24"/>
          <w:szCs w:val="24"/>
        </w:rPr>
        <w:t xml:space="preserve">a) Coût des réparations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bCs/>
          <w:sz w:val="24"/>
          <w:szCs w:val="24"/>
        </w:rPr>
        <w:t xml:space="preserve"> euros</w:t>
      </w:r>
    </w:p>
    <w:p>
      <w:pPr>
        <w:pBdr>
          <w:left w:val="single" w:color="C9A227" w:sz="24"/>
        </w:pBdr>
        <w:spacing w:after="160" w:line="276"/>
        <w:ind w:left="720"/>
        <w:jc w:val="both"/>
      </w:pPr>
      <w:r>
        <w:rPr>
          <w:rFonts w:ascii="Times New Roman" w:cs="Times New Roman" w:eastAsia="Times New Roman" w:hAnsi="Times New Roman"/>
          <w:sz w:val="24"/>
          <w:szCs w:val="24"/>
        </w:rPr>
        <w:t xml:space="preserve">L'expert a chiffré le coût des travaux de remise en état à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(Pièce n° </w:t>
      </w:r>
      <w:r>
        <w:rPr>
          <w:rFonts w:ascii="Times New Roman" w:cs="Times New Roman" w:eastAsia="Times New Roman" w:hAnsi="Times New Roman"/>
          <w:i/>
          <w:iCs/>
          <w:color w:val="A88B1F"/>
          <w:sz w:val="24"/>
          <w:szCs w:val="24"/>
        </w:rPr>
        <w:t xml:space="preserve">[X]</w:t>
      </w:r>
      <w:r>
        <w:rPr>
          <w:rFonts w:ascii="Times New Roman" w:cs="Times New Roman" w:eastAsia="Times New Roman" w:hAnsi="Times New Roman"/>
          <w:sz w:val="24"/>
          <w:szCs w:val="24"/>
        </w:rPr>
        <w:t xml:space="preserve"> : Devis de réparation)</w:t>
      </w:r>
    </w:p>
    <w:p>
      <w:pPr>
        <w:pBdr>
          <w:left w:val="single" w:color="C9A227" w:sz="24"/>
        </w:pBdr>
        <w:spacing w:after="120" w:line="276"/>
        <w:ind w:left="720"/>
        <w:jc w:val="both"/>
      </w:pPr>
      <w:r>
        <w:rPr>
          <w:rFonts w:ascii="Times New Roman" w:cs="Times New Roman" w:eastAsia="Times New Roman" w:hAnsi="Times New Roman"/>
          <w:b/>
          <w:bCs/>
          <w:color w:val="1A365D"/>
          <w:sz w:val="24"/>
          <w:szCs w:val="24"/>
        </w:rPr>
        <w:t xml:space="preserve">b) Préjudice de jouissance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bCs/>
          <w:sz w:val="24"/>
          <w:szCs w:val="24"/>
        </w:rPr>
        <w:t xml:space="preserve"> euros</w:t>
      </w:r>
    </w:p>
    <w:p>
      <w:pPr>
        <w:pBdr>
          <w:left w:val="single" w:color="C9A227" w:sz="24"/>
        </w:pBdr>
        <w:spacing w:after="160" w:line="276"/>
        <w:ind w:left="720"/>
        <w:jc w:val="both"/>
      </w:pPr>
      <w:r>
        <w:rPr>
          <w:rFonts w:ascii="Times New Roman" w:cs="Times New Roman" w:eastAsia="Times New Roman" w:hAnsi="Times New Roman"/>
          <w:sz w:val="24"/>
          <w:szCs w:val="24"/>
        </w:rPr>
        <w:t xml:space="preserve">Le demandeur a été privé de l'usage </w:t>
      </w:r>
      <w:r>
        <w:rPr>
          <w:rFonts w:ascii="Times New Roman" w:cs="Times New Roman" w:eastAsia="Times New Roman" w:hAnsi="Times New Roman"/>
          <w:i/>
          <w:iCs/>
          <w:color w:val="A88B1F"/>
          <w:sz w:val="24"/>
          <w:szCs w:val="24"/>
        </w:rPr>
        <w:t xml:space="preserve">[normal / complet]</w:t>
      </w:r>
      <w:r>
        <w:rPr>
          <w:rFonts w:ascii="Times New Roman" w:cs="Times New Roman" w:eastAsia="Times New Roman" w:hAnsi="Times New Roman"/>
          <w:sz w:val="24"/>
          <w:szCs w:val="24"/>
        </w:rPr>
        <w:t xml:space="preserve"> du bien pendant une durée de </w:t>
      </w:r>
      <w:r>
        <w:rPr>
          <w:rFonts w:ascii="Times New Roman" w:cs="Times New Roman" w:eastAsia="Times New Roman" w:hAnsi="Times New Roman"/>
          <w:i/>
          <w:iCs/>
          <w:color w:val="A88B1F"/>
          <w:sz w:val="24"/>
          <w:szCs w:val="24"/>
        </w:rPr>
        <w:t xml:space="preserve">[durée]</w:t>
      </w:r>
      <w:r>
        <w:rPr>
          <w:rFonts w:ascii="Times New Roman" w:cs="Times New Roman" w:eastAsia="Times New Roman" w:hAnsi="Times New Roman"/>
          <w:sz w:val="24"/>
          <w:szCs w:val="24"/>
        </w:rPr>
        <w:t xml:space="preserve">, ce qui justifie une indemnisation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pBdr>
          <w:left w:val="single" w:color="C9A227" w:sz="24"/>
        </w:pBdr>
        <w:spacing w:after="120" w:line="276"/>
        <w:ind w:left="720"/>
        <w:jc w:val="both"/>
      </w:pPr>
      <w:r>
        <w:rPr>
          <w:rFonts w:ascii="Times New Roman" w:cs="Times New Roman" w:eastAsia="Times New Roman" w:hAnsi="Times New Roman"/>
          <w:b/>
          <w:bCs/>
          <w:color w:val="1A365D"/>
          <w:sz w:val="24"/>
          <w:szCs w:val="24"/>
        </w:rPr>
        <w:t xml:space="preserve">c) Frais d'expertise amiable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bCs/>
          <w:sz w:val="24"/>
          <w:szCs w:val="24"/>
        </w:rPr>
        <w:t xml:space="preserve"> euros</w:t>
      </w:r>
    </w:p>
    <w:p>
      <w:pPr>
        <w:pBdr>
          <w:left w:val="single" w:color="C9A227" w:sz="24"/>
        </w:pBdr>
        <w:spacing w:after="160" w:line="276"/>
        <w:ind w:left="720"/>
        <w:jc w:val="both"/>
      </w:pPr>
      <w:r>
        <w:rPr>
          <w:rFonts w:ascii="Times New Roman" w:cs="Times New Roman" w:eastAsia="Times New Roman" w:hAnsi="Times New Roman"/>
          <w:sz w:val="24"/>
          <w:szCs w:val="24"/>
        </w:rPr>
        <w:t xml:space="preserve">Le demandeur a dû exposer des frais d'expertise amiable pour établir l'existence du vice. (Pièce n° </w:t>
      </w:r>
      <w:r>
        <w:rPr>
          <w:rFonts w:ascii="Times New Roman" w:cs="Times New Roman" w:eastAsia="Times New Roman" w:hAnsi="Times New Roman"/>
          <w:i/>
          <w:iCs/>
          <w:color w:val="A88B1F"/>
          <w:sz w:val="24"/>
          <w:szCs w:val="24"/>
        </w:rPr>
        <w:t xml:space="preserve">[X]</w:t>
      </w:r>
      <w:r>
        <w:rPr>
          <w:rFonts w:ascii="Times New Roman" w:cs="Times New Roman" w:eastAsia="Times New Roman" w:hAnsi="Times New Roman"/>
          <w:sz w:val="24"/>
          <w:szCs w:val="24"/>
        </w:rPr>
        <w:t xml:space="preserve"> : Facture d'expertise amiable)</w:t>
      </w:r>
    </w:p>
    <w:p>
      <w:pPr>
        <w:pBdr>
          <w:left w:val="single" w:color="C9A227" w:sz="24"/>
        </w:pBdr>
        <w:spacing w:after="120" w:line="276"/>
        <w:ind w:left="720"/>
        <w:jc w:val="both"/>
      </w:pPr>
      <w:r>
        <w:rPr>
          <w:rFonts w:ascii="Times New Roman" w:cs="Times New Roman" w:eastAsia="Times New Roman" w:hAnsi="Times New Roman"/>
          <w:b/>
          <w:bCs/>
          <w:color w:val="1A365D"/>
          <w:sz w:val="24"/>
          <w:szCs w:val="24"/>
        </w:rPr>
        <w:t xml:space="preserve">d) Préjudice moral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bCs/>
          <w:sz w:val="24"/>
          <w:szCs w:val="24"/>
        </w:rPr>
        <w:t xml:space="preserve"> euros</w:t>
      </w:r>
    </w:p>
    <w:p>
      <w:pPr>
        <w:pBdr>
          <w:left w:val="single" w:color="C9A227" w:sz="24"/>
        </w:pBdr>
        <w:spacing w:after="200" w:line="276"/>
        <w:ind w:left="720"/>
        <w:jc w:val="both"/>
      </w:pPr>
      <w:r>
        <w:rPr>
          <w:rFonts w:ascii="Times New Roman" w:cs="Times New Roman" w:eastAsia="Times New Roman" w:hAnsi="Times New Roman"/>
          <w:i/>
          <w:iCs/>
          <w:color w:val="666666"/>
          <w:sz w:val="22"/>
          <w:szCs w:val="22"/>
        </w:rPr>
        <w:t xml:space="preserve">[Le cas échéant] </w:t>
      </w:r>
      <w:r>
        <w:rPr>
          <w:rFonts w:ascii="Times New Roman" w:cs="Times New Roman" w:eastAsia="Times New Roman" w:hAnsi="Times New Roman"/>
          <w:sz w:val="24"/>
          <w:szCs w:val="24"/>
        </w:rPr>
        <w:t xml:space="preserve">Les désagréments et tracas occasionnés par cette situation justifient l'allocation d'une indemnité au titre du préjudice moral.</w:t>
      </w:r>
    </w:p>
    <w:p>
      <w:pPr>
        <w:spacing w:after="200"/>
        <w:jc w:val="left"/>
      </w:pPr>
      <w:r>
        <w:rPr>
          <w:rFonts w:ascii="Times New Roman" w:cs="Times New Roman" w:eastAsia="Times New Roman" w:hAnsi="Times New Roman"/>
          <w:sz w:val="24"/>
          <w:szCs w:val="24"/>
        </w:rPr>
        <w:t xml:space="preserve">Total des dommages-intérêts sollicités : </w:t>
      </w:r>
      <w:r>
        <w:rPr>
          <w:rFonts w:ascii="Times New Roman" w:cs="Times New Roman" w:eastAsia="Times New Roman" w:hAnsi="Times New Roman"/>
          <w:i/>
          <w:iCs/>
          <w:color w:val="A88B1F"/>
          <w:sz w:val="24"/>
          <w:szCs w:val="24"/>
        </w:rPr>
        <w:t xml:space="preserve">[montant total]</w:t>
      </w:r>
      <w:r>
        <w:rPr>
          <w:rFonts w:ascii="Times New Roman" w:cs="Times New Roman" w:eastAsia="Times New Roman" w:hAnsi="Times New Roman"/>
          <w:b/>
          <w:bCs/>
          <w:sz w:val="24"/>
          <w:szCs w:val="24"/>
        </w:rPr>
        <w:t xml:space="preserve"> euros</w:t>
      </w:r>
    </w:p>
    <w:p>
      <w:pPr>
        <w:spacing w:before="280" w:after="160"/>
        <w:jc w:val="left"/>
      </w:pPr>
      <w:r>
        <w:rPr>
          <w:rFonts w:ascii="Times New Roman" w:cs="Times New Roman" w:eastAsia="Times New Roman" w:hAnsi="Times New Roman"/>
          <w:b/>
          <w:bCs/>
          <w:color w:val="A88B1F"/>
          <w:sz w:val="24"/>
          <w:szCs w:val="24"/>
        </w:rPr>
        <w:t xml:space="preserve">F. </w:t>
      </w:r>
      <w:r>
        <w:rPr>
          <w:rFonts w:ascii="Times New Roman" w:cs="Times New Roman" w:eastAsia="Times New Roman" w:hAnsi="Times New Roman"/>
          <w:b/>
          <w:bCs/>
          <w:color w:val="1A365D"/>
          <w:sz w:val="24"/>
          <w:szCs w:val="24"/>
        </w:rPr>
        <w:t xml:space="preserve">Sur l'inopposabilité de toute clause limitative ou exonératoire de garantie</w:t>
      </w:r>
    </w:p>
    <w:p>
      <w:pPr>
        <w:spacing w:after="120"/>
        <w:jc w:val="left"/>
      </w:pPr>
      <w:r>
        <w:rPr>
          <w:rFonts w:ascii="Times New Roman" w:cs="Times New Roman" w:eastAsia="Times New Roman" w:hAnsi="Times New Roman"/>
          <w:i/>
          <w:iCs/>
          <w:color w:val="666666"/>
          <w:sz w:val="22"/>
          <w:szCs w:val="22"/>
        </w:rPr>
        <w:t xml:space="preserve">[Si le contrat contient une telle clause]</w:t>
      </w:r>
    </w:p>
    <w:p>
      <w:pPr>
        <w:spacing w:after="120" w:line="276"/>
        <w:jc w:val="both"/>
      </w:pPr>
      <w:r>
        <w:rPr>
          <w:rFonts w:ascii="Times New Roman" w:cs="Times New Roman" w:eastAsia="Times New Roman" w:hAnsi="Times New Roman"/>
          <w:color w:val="000000"/>
          <w:sz w:val="24"/>
          <w:szCs w:val="24"/>
        </w:rPr>
        <w:t xml:space="preserve">Le défendeur pourrait tenter d'opposer au demandeur la clause </w:t>
      </w:r>
      <w:r>
        <w:rPr>
          <w:rFonts w:ascii="Times New Roman" w:cs="Times New Roman" w:eastAsia="Times New Roman" w:hAnsi="Times New Roman"/>
          <w:i/>
          <w:iCs/>
          <w:color w:val="A88B1F"/>
          <w:sz w:val="24"/>
          <w:szCs w:val="24"/>
        </w:rPr>
        <w:t xml:space="preserve">[reproduire la clause]</w:t>
      </w:r>
      <w:r>
        <w:rPr>
          <w:rFonts w:ascii="Times New Roman" w:cs="Times New Roman" w:eastAsia="Times New Roman" w:hAnsi="Times New Roman"/>
          <w:color w:val="000000"/>
          <w:sz w:val="24"/>
          <w:szCs w:val="24"/>
        </w:rPr>
        <w:t xml:space="preserve"> figurant au contrat de vente.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Toutefois, cette clause est inopposable au demandeur pour les raisons suivantes :</w:t>
      </w:r>
    </w:p>
    <w:p>
      <w:pPr>
        <w:spacing w:after="120"/>
        <w:jc w:val="left"/>
      </w:pPr>
      <w:r>
        <w:rPr>
          <w:rFonts w:ascii="Times New Roman" w:cs="Times New Roman" w:eastAsia="Times New Roman" w:hAnsi="Times New Roman"/>
          <w:i/>
          <w:iCs/>
          <w:color w:val="666666"/>
          <w:sz w:val="22"/>
          <w:szCs w:val="22"/>
        </w:rPr>
        <w:t xml:space="preserve">[Si vendeur professionnel]</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Il est de jurisprudence constante que le vendeur professionnel, présumé de manière irréfragable connaître les vices de la chose vendue, ne peut jamais se prévaloir d'une clause limitative ou exonératoire de garantie des vices cachés (Cass. com., 13 novembre 2001 ; Cass. com., 29 novembre 2017, n° 16-14.701).</w:t>
      </w:r>
    </w:p>
    <w:p>
      <w:pPr>
        <w:spacing w:after="120"/>
        <w:jc w:val="left"/>
      </w:pPr>
      <w:r>
        <w:rPr>
          <w:rFonts w:ascii="Times New Roman" w:cs="Times New Roman" w:eastAsia="Times New Roman" w:hAnsi="Times New Roman"/>
          <w:i/>
          <w:iCs/>
          <w:color w:val="666666"/>
          <w:sz w:val="22"/>
          <w:szCs w:val="22"/>
        </w:rPr>
        <w:t xml:space="preserve">[Si acquéreur consommateur]</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Le demandeur ayant la qualité de consommateur, une telle clause est irréfragablement présumée abusive au sens de l'article R. 212-1, 6° du Code de la consommation et doit être réputée non écrite en application de l'article L. 241-1 du même code.</w:t>
      </w:r>
    </w:p>
    <w:p>
      <w:pPr>
        <w:spacing w:before="160" w:after="200"/>
        <w:jc w:val="left"/>
      </w:pPr>
      <w:r>
        <w:rPr>
          <w:rFonts w:ascii="Times New Roman" w:cs="Times New Roman" w:eastAsia="Times New Roman" w:hAnsi="Times New Roman"/>
          <w:b/>
          <w:bCs/>
          <w:sz w:val="24"/>
          <w:szCs w:val="24"/>
        </w:rPr>
        <w:t xml:space="preserve">La clause litigieuse est donc inopposable au demandeur.</w:t>
      </w:r>
    </w:p>
    <w:p>
      <w:pPr>
        <w:spacing w:before="280" w:after="160"/>
        <w:jc w:val="left"/>
      </w:pPr>
      <w:r>
        <w:rPr>
          <w:rFonts w:ascii="Times New Roman" w:cs="Times New Roman" w:eastAsia="Times New Roman" w:hAnsi="Times New Roman"/>
          <w:b/>
          <w:bCs/>
          <w:color w:val="A88B1F"/>
          <w:sz w:val="24"/>
          <w:szCs w:val="24"/>
        </w:rPr>
        <w:t xml:space="preserve">G. </w:t>
      </w:r>
      <w:r>
        <w:rPr>
          <w:rFonts w:ascii="Times New Roman" w:cs="Times New Roman" w:eastAsia="Times New Roman" w:hAnsi="Times New Roman"/>
          <w:b/>
          <w:bCs/>
          <w:color w:val="1A365D"/>
          <w:sz w:val="24"/>
          <w:szCs w:val="24"/>
        </w:rPr>
        <w:t xml:space="preserve">Sur les frais et dépens</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En application de l'article 696 du Code de procédure civile, la partie perdante est condamnée aux dépens.</w:t>
      </w:r>
    </w:p>
    <w:p>
      <w:pPr>
        <w:spacing w:after="120" w:line="276"/>
        <w:jc w:val="both"/>
      </w:pPr>
      <w:r>
        <w:rPr>
          <w:rFonts w:ascii="Times New Roman" w:cs="Times New Roman" w:eastAsia="Times New Roman" w:hAnsi="Times New Roman"/>
          <w:color w:val="000000"/>
          <w:sz w:val="24"/>
          <w:szCs w:val="24"/>
        </w:rPr>
        <w:t xml:space="preserve">Par ailleurs, il serait inéquitable de laisser à la charge du demandeur les frais irrépétibles qu'il a dû exposer pour faire valoir ses droits. En application de l'article 700 du Code de procédure civile, le défendeur sera condamné à lui payer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color w:val="000000"/>
          <w:sz w:val="24"/>
          <w:szCs w:val="24"/>
        </w:rPr>
        <w:t xml:space="preserve"> euros.</w:t>
      </w:r>
    </w:p>
    <w:p>
      <w:pPr>
        <w:spacing w:before="240" w:after="24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6"/>
          <w:szCs w:val="36"/>
        </w:rPr>
        <w:t xml:space="preserve">PAR CES MOTIFS</w:t>
      </w:r>
    </w:p>
    <w:p>
      <w:pPr>
        <w:spacing w:after="240"/>
        <w:jc w:val="center"/>
      </w:pPr>
      <w:r>
        <w:rPr>
          <w:rFonts w:ascii="Times New Roman" w:cs="Times New Roman" w:eastAsia="Times New Roman" w:hAnsi="Times New Roman"/>
          <w:color w:val="C9A227"/>
          <w:sz w:val="24"/>
          <w:szCs w:val="24"/>
        </w:rPr>
        <w:t xml:space="preserv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Vu les articles 1641 à 1649 du Code civil,</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Vu les articles 696 et 700 du Code de procédure civile,</w:t>
      </w:r>
    </w:p>
    <w:p>
      <w:pPr>
        <w:spacing w:after="120" w:line="276"/>
        <w:jc w:val="both"/>
      </w:pPr>
      <w:r>
        <w:rPr>
          <w:rFonts w:ascii="Times New Roman" w:cs="Times New Roman" w:eastAsia="Times New Roman" w:hAnsi="Times New Roman"/>
          <w:color w:val="000000"/>
          <w:sz w:val="24"/>
          <w:szCs w:val="24"/>
        </w:rPr>
        <w:t xml:space="preserve">Vu le rapport d'expertise judiciaire de </w:t>
      </w:r>
      <w:r>
        <w:rPr>
          <w:rFonts w:ascii="Times New Roman" w:cs="Times New Roman" w:eastAsia="Times New Roman" w:hAnsi="Times New Roman"/>
          <w:i/>
          <w:iCs/>
          <w:color w:val="A88B1F"/>
          <w:sz w:val="24"/>
          <w:szCs w:val="24"/>
        </w:rPr>
        <w:t xml:space="preserve">[Monsieur/Madame NOM]</w:t>
      </w:r>
      <w:r>
        <w:rPr>
          <w:rFonts w:ascii="Times New Roman" w:cs="Times New Roman" w:eastAsia="Times New Roman" w:hAnsi="Times New Roman"/>
          <w:color w:val="000000"/>
          <w:sz w:val="24"/>
          <w:szCs w:val="24"/>
        </w:rPr>
        <w:t xml:space="preserv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color w:val="000000"/>
          <w:sz w:val="24"/>
          <w:szCs w:val="24"/>
        </w:rPr>
        <w:t xml:space="preserv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Vu les pièces versées aux débats,</w:t>
      </w:r>
    </w:p>
    <w:p>
      <w:pPr>
        <w:spacing w:before="240" w:after="200"/>
        <w:jc w:val="left"/>
      </w:pPr>
      <w:r>
        <w:rPr>
          <w:rFonts w:ascii="Times New Roman" w:cs="Times New Roman" w:eastAsia="Times New Roman" w:hAnsi="Times New Roman"/>
          <w:b/>
          <w:bCs/>
          <w:color w:val="1A365D"/>
          <w:sz w:val="24"/>
          <w:szCs w:val="24"/>
        </w:rPr>
        <w:t xml:space="preserve">IL EST DEMANDÉ AU TRIBUNAL DE BIEN VOULOIR :</w:t>
      </w:r>
    </w:p>
    <w:p>
      <w:pPr>
        <w:spacing w:after="160" w:line="276"/>
        <w:jc w:val="both"/>
      </w:pPr>
      <w:r>
        <w:rPr>
          <w:rFonts w:ascii="Times New Roman" w:cs="Times New Roman" w:eastAsia="Times New Roman" w:hAnsi="Times New Roman"/>
          <w:b/>
          <w:bCs/>
          <w:color w:val="000000"/>
          <w:sz w:val="24"/>
          <w:szCs w:val="24"/>
        </w:rPr>
        <w:t xml:space="preserve">DÉCLARER</w:t>
      </w:r>
      <w:r>
        <w:rPr>
          <w:rFonts w:ascii="Times New Roman" w:cs="Times New Roman" w:eastAsia="Times New Roman" w:hAnsi="Times New Roman"/>
          <w:color w:val="000000"/>
          <w:sz w:val="24"/>
          <w:szCs w:val="24"/>
        </w:rPr>
        <w:t xml:space="preserve"> [Monsieur/Madame NOM Prénom / Dénomination sociale], demandeur, recevable et bien fondé en son action en garantie des vices cachés ;</w:t>
      </w:r>
    </w:p>
    <w:p>
      <w:pPr>
        <w:spacing w:after="160" w:line="276"/>
        <w:jc w:val="both"/>
      </w:pPr>
      <w:r>
        <w:rPr>
          <w:rFonts w:ascii="Times New Roman" w:cs="Times New Roman" w:eastAsia="Times New Roman" w:hAnsi="Times New Roman"/>
          <w:b/>
          <w:bCs/>
          <w:color w:val="000000"/>
          <w:sz w:val="24"/>
          <w:szCs w:val="24"/>
        </w:rPr>
        <w:t xml:space="preserve">DIRE ET JUGER</w:t>
      </w:r>
      <w:r>
        <w:rPr>
          <w:rFonts w:ascii="Times New Roman" w:cs="Times New Roman" w:eastAsia="Times New Roman" w:hAnsi="Times New Roman"/>
          <w:color w:val="000000"/>
          <w:sz w:val="24"/>
          <w:szCs w:val="24"/>
        </w:rPr>
        <w:t xml:space="preserve"> que le [bien litigieux] vendu par [le défendeur] au demandeur est affecté d'un vice caché au sens de l'article 1641 du Code civil ;</w:t>
      </w:r>
    </w:p>
    <w:p>
      <w:pPr>
        <w:spacing w:after="160"/>
        <w:jc w:val="center"/>
      </w:pPr>
      <w:r>
        <w:rPr>
          <w:rFonts w:ascii="Times New Roman" w:cs="Times New Roman" w:eastAsia="Times New Roman" w:hAnsi="Times New Roman"/>
          <w:i/>
          <w:iCs/>
          <w:sz w:val="24"/>
          <w:szCs w:val="24"/>
        </w:rPr>
        <w:t xml:space="preserve">En conséquence,</w:t>
      </w:r>
    </w:p>
    <w:p>
      <w:pPr>
        <w:spacing w:after="160" w:line="276"/>
        <w:jc w:val="both"/>
      </w:pPr>
      <w:r>
        <w:rPr>
          <w:rFonts w:ascii="Times New Roman" w:cs="Times New Roman" w:eastAsia="Times New Roman" w:hAnsi="Times New Roman"/>
          <w:b/>
          <w:bCs/>
          <w:color w:val="000000"/>
          <w:sz w:val="24"/>
          <w:szCs w:val="24"/>
        </w:rPr>
        <w:t xml:space="preserve">CONDAMNER</w:t>
      </w:r>
      <w:r>
        <w:rPr>
          <w:rFonts w:ascii="Times New Roman" w:cs="Times New Roman" w:eastAsia="Times New Roman" w:hAnsi="Times New Roman"/>
          <w:color w:val="000000"/>
          <w:sz w:val="24"/>
          <w:szCs w:val="24"/>
        </w:rPr>
        <w:t xml:space="preserve"> [le défendeur] à payer au demandeur, au titre de l'action estimatoire prévue à l'article 1644 du Code civil, la somme de [montant de la réduction de prix] euros correspondant à la réduction du prix de vente ;</w:t>
      </w:r>
    </w:p>
    <w:p>
      <w:pPr>
        <w:spacing w:after="160" w:line="276"/>
        <w:jc w:val="both"/>
      </w:pPr>
      <w:r>
        <w:rPr>
          <w:rFonts w:ascii="Times New Roman" w:cs="Times New Roman" w:eastAsia="Times New Roman" w:hAnsi="Times New Roman"/>
          <w:b/>
          <w:bCs/>
          <w:color w:val="000000"/>
          <w:sz w:val="24"/>
          <w:szCs w:val="24"/>
        </w:rPr>
        <w:t xml:space="preserve">CONDAMNER</w:t>
      </w:r>
      <w:r>
        <w:rPr>
          <w:rFonts w:ascii="Times New Roman" w:cs="Times New Roman" w:eastAsia="Times New Roman" w:hAnsi="Times New Roman"/>
          <w:color w:val="000000"/>
          <w:sz w:val="24"/>
          <w:szCs w:val="24"/>
        </w:rPr>
        <w:t xml:space="preserve"> [le défendeur] à payer au demandeur, au titre des dommages-intérêts prévus à l'article 1645 du Code civil, les sommes suivantes :</w:t>
      </w:r>
    </w:p>
    <w:p>
      <w:pPr>
        <w:spacing w:after="80" w:line="276"/>
        <w:ind w:left="108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Coût des réparations : [montant] euros ;</w:t>
      </w:r>
    </w:p>
    <w:p>
      <w:pPr>
        <w:spacing w:after="80" w:line="276"/>
        <w:ind w:left="108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Préjudice de jouissance : [montant] euros ;</w:t>
      </w:r>
    </w:p>
    <w:p>
      <w:pPr>
        <w:spacing w:after="80" w:line="276"/>
        <w:ind w:left="108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Frais d'expertise amiable : [montant] euros ;</w:t>
      </w:r>
    </w:p>
    <w:p>
      <w:pPr>
        <w:spacing w:after="80" w:line="276"/>
        <w:ind w:left="108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Préjudice moral : [montant] euros ;</w:t>
      </w:r>
    </w:p>
    <w:p>
      <w:pPr>
        <w:spacing w:after="160"/>
        <w:ind w:left="720"/>
        <w:jc w:val="left"/>
      </w:pPr>
      <w:r>
        <w:rPr>
          <w:rFonts w:ascii="Times New Roman" w:cs="Times New Roman" w:eastAsia="Times New Roman" w:hAnsi="Times New Roman"/>
          <w:sz w:val="24"/>
          <w:szCs w:val="24"/>
        </w:rPr>
        <w:t xml:space="preserve">Soit un total de </w:t>
      </w:r>
      <w:r>
        <w:rPr>
          <w:rFonts w:ascii="Times New Roman" w:cs="Times New Roman" w:eastAsia="Times New Roman" w:hAnsi="Times New Roman"/>
          <w:i/>
          <w:iCs/>
          <w:color w:val="A88B1F"/>
          <w:sz w:val="24"/>
          <w:szCs w:val="24"/>
        </w:rPr>
        <w:t xml:space="preserve">[montant total des dommages-intérêts]</w:t>
      </w:r>
      <w:r>
        <w:rPr>
          <w:rFonts w:ascii="Times New Roman" w:cs="Times New Roman" w:eastAsia="Times New Roman" w:hAnsi="Times New Roman"/>
          <w:b/>
          <w:bCs/>
          <w:sz w:val="24"/>
          <w:szCs w:val="24"/>
        </w:rPr>
        <w:t xml:space="preserve"> euros ;</w:t>
      </w:r>
    </w:p>
    <w:p>
      <w:pPr>
        <w:spacing w:after="160" w:line="276"/>
        <w:jc w:val="both"/>
      </w:pPr>
      <w:r>
        <w:rPr>
          <w:rFonts w:ascii="Times New Roman" w:cs="Times New Roman" w:eastAsia="Times New Roman" w:hAnsi="Times New Roman"/>
          <w:b/>
          <w:bCs/>
          <w:color w:val="000000"/>
          <w:sz w:val="24"/>
          <w:szCs w:val="24"/>
        </w:rPr>
        <w:t xml:space="preserve">DIRE</w:t>
      </w:r>
      <w:r>
        <w:rPr>
          <w:rFonts w:ascii="Times New Roman" w:cs="Times New Roman" w:eastAsia="Times New Roman" w:hAnsi="Times New Roman"/>
          <w:color w:val="000000"/>
          <w:sz w:val="24"/>
          <w:szCs w:val="24"/>
        </w:rPr>
        <w:t xml:space="preserve"> que ces sommes porteront intérêts au taux légal à compter de la [date de la mise en demeure / date de l'assignation] ;</w:t>
      </w:r>
    </w:p>
    <w:p>
      <w:pPr>
        <w:spacing w:after="160" w:line="276"/>
        <w:jc w:val="both"/>
      </w:pPr>
      <w:r>
        <w:rPr>
          <w:rFonts w:ascii="Times New Roman" w:cs="Times New Roman" w:eastAsia="Times New Roman" w:hAnsi="Times New Roman"/>
          <w:b/>
          <w:bCs/>
          <w:color w:val="000000"/>
          <w:sz w:val="24"/>
          <w:szCs w:val="24"/>
        </w:rPr>
        <w:t xml:space="preserve">ORDONNER</w:t>
      </w:r>
      <w:r>
        <w:rPr>
          <w:rFonts w:ascii="Times New Roman" w:cs="Times New Roman" w:eastAsia="Times New Roman" w:hAnsi="Times New Roman"/>
          <w:color w:val="000000"/>
          <w:sz w:val="24"/>
          <w:szCs w:val="24"/>
        </w:rPr>
        <w:t xml:space="preserve"> la capitalisation des intérêts conformément à l'article 1343-2 du Code civil ;</w:t>
      </w:r>
    </w:p>
    <w:p>
      <w:pPr>
        <w:spacing w:after="160" w:line="276"/>
        <w:jc w:val="both"/>
      </w:pPr>
      <w:r>
        <w:rPr>
          <w:rFonts w:ascii="Times New Roman" w:cs="Times New Roman" w:eastAsia="Times New Roman" w:hAnsi="Times New Roman"/>
          <w:b/>
          <w:bCs/>
          <w:color w:val="000000"/>
          <w:sz w:val="24"/>
          <w:szCs w:val="24"/>
        </w:rPr>
        <w:t xml:space="preserve">DÉBOUTER</w:t>
      </w:r>
      <w:r>
        <w:rPr>
          <w:rFonts w:ascii="Times New Roman" w:cs="Times New Roman" w:eastAsia="Times New Roman" w:hAnsi="Times New Roman"/>
          <w:color w:val="000000"/>
          <w:sz w:val="24"/>
          <w:szCs w:val="24"/>
        </w:rPr>
        <w:t xml:space="preserve"> [le défendeur] de l'ensemble de ses demandes, fins et conclusions ;</w:t>
      </w:r>
    </w:p>
    <w:p>
      <w:pPr>
        <w:spacing w:after="160" w:line="276"/>
        <w:jc w:val="both"/>
      </w:pPr>
      <w:r>
        <w:rPr>
          <w:rFonts w:ascii="Times New Roman" w:cs="Times New Roman" w:eastAsia="Times New Roman" w:hAnsi="Times New Roman"/>
          <w:b/>
          <w:bCs/>
          <w:color w:val="000000"/>
          <w:sz w:val="24"/>
          <w:szCs w:val="24"/>
        </w:rPr>
        <w:t xml:space="preserve">CONDAMNER</w:t>
      </w:r>
      <w:r>
        <w:rPr>
          <w:rFonts w:ascii="Times New Roman" w:cs="Times New Roman" w:eastAsia="Times New Roman" w:hAnsi="Times New Roman"/>
          <w:color w:val="000000"/>
          <w:sz w:val="24"/>
          <w:szCs w:val="24"/>
        </w:rPr>
        <w:t xml:space="preserve"> [le défendeur] aux entiers dépens, en ce compris les frais d'expertise judiciaire ;</w:t>
      </w:r>
    </w:p>
    <w:p>
      <w:pPr>
        <w:spacing w:after="160" w:line="276"/>
        <w:jc w:val="both"/>
      </w:pPr>
      <w:r>
        <w:rPr>
          <w:rFonts w:ascii="Times New Roman" w:cs="Times New Roman" w:eastAsia="Times New Roman" w:hAnsi="Times New Roman"/>
          <w:b/>
          <w:bCs/>
          <w:color w:val="000000"/>
          <w:sz w:val="24"/>
          <w:szCs w:val="24"/>
        </w:rPr>
        <w:t xml:space="preserve">CONDAMNER</w:t>
      </w:r>
      <w:r>
        <w:rPr>
          <w:rFonts w:ascii="Times New Roman" w:cs="Times New Roman" w:eastAsia="Times New Roman" w:hAnsi="Times New Roman"/>
          <w:color w:val="000000"/>
          <w:sz w:val="24"/>
          <w:szCs w:val="24"/>
        </w:rPr>
        <w:t xml:space="preserve"> [le défendeur] à payer au demandeur la somme de [montant] euros au titre de l'article 700 du Code de procédure civile ;</w:t>
      </w:r>
    </w:p>
    <w:p>
      <w:pPr>
        <w:spacing w:after="160" w:line="276"/>
        <w:jc w:val="both"/>
      </w:pPr>
      <w:r>
        <w:rPr>
          <w:rFonts w:ascii="Times New Roman" w:cs="Times New Roman" w:eastAsia="Times New Roman" w:hAnsi="Times New Roman"/>
          <w:b/>
          <w:bCs/>
          <w:color w:val="000000"/>
          <w:sz w:val="24"/>
          <w:szCs w:val="24"/>
        </w:rPr>
        <w:t xml:space="preserve">ORDONNER</w:t>
      </w:r>
      <w:r>
        <w:rPr>
          <w:rFonts w:ascii="Times New Roman" w:cs="Times New Roman" w:eastAsia="Times New Roman" w:hAnsi="Times New Roman"/>
          <w:color w:val="000000"/>
          <w:sz w:val="24"/>
          <w:szCs w:val="24"/>
        </w:rPr>
        <w:t xml:space="preserve"> l'exécution provisoire de la décision à intervenir, en application de l'article 514 du Code de procédure civile.</w:t>
      </w:r>
    </w:p>
    <w:p>
      <w:pPr>
        <w:spacing w:before="360" w:after="360"/>
        <w:jc w:val="center"/>
      </w:pPr>
      <w:r>
        <w:rPr>
          <w:rFonts w:ascii="Times New Roman" w:cs="Times New Roman" w:eastAsia="Times New Roman" w:hAnsi="Times New Roman"/>
          <w:b/>
          <w:bCs/>
          <w:smallCaps/>
          <w:color w:val="1A365D"/>
          <w:sz w:val="24"/>
          <w:szCs w:val="24"/>
        </w:rPr>
        <w:t xml:space="preserve">SOUS TOUTES RÉSERVES ET CE AFIN QU'ILS N'EN IGNORENT.</w:t>
      </w:r>
    </w:p>
    <w:p>
      <w:pPr>
        <w:spacing w:before="240" w:after="24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6"/>
          <w:szCs w:val="36"/>
        </w:rPr>
        <w:t xml:space="preserve">BORDEREAU DE PIÈCES COMMUNIQUÉES</w:t>
      </w:r>
    </w:p>
    <w:p>
      <w:pPr>
        <w:spacing w:after="240"/>
        <w:jc w:val="center"/>
      </w:pPr>
      <w:r>
        <w:rPr>
          <w:rFonts w:ascii="Times New Roman" w:cs="Times New Roman" w:eastAsia="Times New Roman" w:hAnsi="Times New Roman"/>
          <w:color w:val="C9A227"/>
          <w:sz w:val="24"/>
          <w:szCs w:val="24"/>
        </w:rPr>
        <w:t xml:space="preserv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Pièce n° 1 : Contrat de vente / Bon de commande / Facture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Pièce n° 2 : Photographies / Constats attestant des désordres</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Pièce n° 3 : Mise en demeure et accusé de réception</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Pièce n° 4 : Réponse du défendeur (le cas échéant)</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Pièce n° 5 : Ordonnance de référé expertise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Pièce n° 6 : Rapport d'expertise judiciaire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Pièce n° 7 : Justificatif de la tentative de règlement amiable</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Pièce n° 8 : Devis de réparation</w:t>
      </w:r>
    </w:p>
    <w:p>
      <w:pPr>
        <w:spacing w:after="120" w:line="276"/>
        <w:ind/>
        <w:jc w:val="both"/>
      </w:pPr>
      <w:r>
        <w:rPr>
          <w:rFonts w:ascii="Times New Roman" w:cs="Times New Roman" w:eastAsia="Times New Roman" w:hAnsi="Times New Roman"/>
          <w:b w:val="false"/>
          <w:bCs w:val="false"/>
          <w:i w:val="false"/>
          <w:iCs w:val="false"/>
          <w:color w:val="000000"/>
          <w:sz w:val="24"/>
          <w:szCs w:val="24"/>
        </w:rPr>
        <w:t xml:space="preserve">Pièce n° 9 : Factures justifiant des préjudices</w:t>
      </w:r>
    </w:p>
    <w:p>
      <w:pPr>
        <w:spacing w:before="200"/>
        <w:jc w:val="left"/>
      </w:pPr>
      <w:r>
        <w:rPr>
          <w:rFonts w:ascii="Times New Roman" w:cs="Times New Roman" w:eastAsia="Times New Roman" w:hAnsi="Times New Roman"/>
          <w:i/>
          <w:iCs/>
          <w:color w:val="666666"/>
          <w:sz w:val="22"/>
          <w:szCs w:val="22"/>
        </w:rPr>
        <w:t xml:space="preserve">[Compléter selon les pièces du dossier]</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C9A227"/>
        <w:sz w:val="18"/>
        <w:szCs w:val="18"/>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120"/>
      <w:jc w:val="center"/>
    </w:pPr>
    <w:r>
      <w:rPr>
        <w:rFonts w:ascii="Times New Roman" w:cs="Times New Roman" w:eastAsia="Times New Roman" w:hAnsi="Times New Roman"/>
        <w:i/>
        <w:iCs/>
        <w:color w:val="666666"/>
        <w:sz w:val="18"/>
        <w:szCs w:val="18"/>
      </w:rPr>
      <w:t xml:space="preserve">Assignation au fond devant le Tribunal judiciaire — Action estimatoire en garantie des vices cachés</w:t>
    </w:r>
  </w:p>
  <w:p>
    <w:pPr>
      <w:jc w:val="center"/>
    </w:pPr>
    <w:r>
      <w:rPr>
        <w:rFonts w:ascii="Times New Roman" w:cs="Times New Roman" w:eastAsia="Times New Roman" w:hAnsi="Times New Roman"/>
        <w:color w:val="C9A227"/>
        <w:sz w:val="18"/>
        <w:szCs w:val="18"/>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2026-01-21T21:38:03.071Z</dcterms:created>
  <dcterms:modified xsi:type="dcterms:W3CDTF">2026-01-21T21:38:03.072Z</dcterms:modified>
</cp:coreProperties>
</file>

<file path=docProps/custom.xml><?xml version="1.0" encoding="utf-8"?>
<Properties xmlns="http://schemas.openxmlformats.org/officeDocument/2006/custom-properties" xmlns:vt="http://schemas.openxmlformats.org/officeDocument/2006/docPropsVTypes"/>
</file>