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3C6E5DE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lastRenderedPageBreak/>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63CC6C91"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BE56031" w14:textId="4964A76C"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577C6F5" w14:textId="77777777" w:rsidR="004C7546" w:rsidRPr="000C5F9A" w:rsidRDefault="004C7546" w:rsidP="007B32FB">
      <w:pPr>
        <w:pBdr>
          <w:top w:val="single" w:sz="4" w:space="1" w:color="auto"/>
          <w:left w:val="single" w:sz="4" w:space="1" w:color="auto"/>
          <w:bottom w:val="single" w:sz="4" w:space="1" w:color="auto"/>
          <w:right w:val="single" w:sz="4" w:space="1" w:color="auto"/>
        </w:pBdr>
        <w:shd w:val="clear" w:color="auto" w:fill="E7E6E6" w:themeFill="background2"/>
      </w:pPr>
    </w:p>
    <w:p w14:paraId="29A8234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325D1402"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7D56EB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1204273D"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0115EB51" w14:textId="77777777" w:rsidR="00A86052"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t>Un avocat</w:t>
      </w:r>
    </w:p>
    <w:p w14:paraId="7F81D395" w14:textId="7E326D2B"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conjoint ;</w:t>
      </w:r>
    </w:p>
    <w:p w14:paraId="329EEB5F" w14:textId="5B0F737E"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concubin ;</w:t>
      </w:r>
    </w:p>
    <w:p w14:paraId="15B87940" w14:textId="236DA234"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La personne avec laquelle il a conclu un pacte civil de solidarité ;</w:t>
      </w:r>
    </w:p>
    <w:p w14:paraId="611048A4" w14:textId="49DA0582"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directe ;</w:t>
      </w:r>
    </w:p>
    <w:p w14:paraId="48BFA4DA" w14:textId="07F2F971"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collatérale jusqu’au troisième degré inclus ;</w:t>
      </w:r>
    </w:p>
    <w:p w14:paraId="7B2420E6" w14:textId="0D99F0C3" w:rsidR="00BE3C88" w:rsidRPr="00CD4CD1"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Une personne exclusivement attachée à son service personnel ou à son entreprise.</w:t>
      </w:r>
    </w:p>
    <w:p w14:paraId="340F125D"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41404889"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A2B85F0"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52BE1DAE"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Que l’État, les départements, les régions, les communes et les établissements publics peuvent se faire représenter ou assister par un fonctionnaire ou un agent de leur administration.</w:t>
      </w:r>
    </w:p>
    <w:p w14:paraId="62857FB7"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68171B6" w14:textId="5AAB95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0E83FBDD"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10C02A9C"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F28BC56" w14:textId="0DE62652"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5158C38C" w14:textId="390873FC"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439DC4D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28FD1E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3478B63"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84CB6BC" w14:textId="7997EB29"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 xml:space="preserve">Les parties présentent oralement à l'audience leurs prétentions et les moyens à leur soutien. Elles peuvent également se référer aux prétentions et aux moyens qu'elles auraient formulés </w:t>
      </w:r>
      <w:r w:rsidRPr="00B1718F">
        <w:rPr>
          <w:i/>
          <w:szCs w:val="24"/>
        </w:rPr>
        <w:lastRenderedPageBreak/>
        <w:t>par écrit. Les observations des parties sont notées au dossier ou consignées dans un procès-verbal.</w:t>
      </w:r>
    </w:p>
    <w:p w14:paraId="54475181"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74CD313F" w:rsidR="00796768" w:rsidRDefault="00796768" w:rsidP="00796768">
      <w:pPr>
        <w:rPr>
          <w:i/>
          <w:szCs w:val="24"/>
        </w:rPr>
      </w:pPr>
    </w:p>
    <w:p w14:paraId="7EE7286E" w14:textId="77777777" w:rsidR="00960C0B" w:rsidRDefault="00960C0B" w:rsidP="00796768">
      <w:pPr>
        <w:rPr>
          <w:i/>
          <w:szCs w:val="24"/>
        </w:rPr>
      </w:pPr>
    </w:p>
    <w:p w14:paraId="2AEB03E5" w14:textId="77777777" w:rsidR="00960C0B" w:rsidRPr="004B6A61" w:rsidRDefault="00960C0B" w:rsidP="00960C0B">
      <w:pPr>
        <w:shd w:val="clear" w:color="auto" w:fill="FFFFFF" w:themeFill="background1"/>
        <w:jc w:val="center"/>
        <w:rPr>
          <w:b/>
          <w:bCs/>
          <w:i/>
          <w:szCs w:val="24"/>
        </w:rPr>
      </w:pPr>
      <w:r w:rsidRPr="004B6A61">
        <w:rPr>
          <w:b/>
          <w:bCs/>
          <w:i/>
          <w:szCs w:val="24"/>
        </w:rPr>
        <w:t>[Si demande en justice visant, en matière immobilière, à remettre en cause des droits soumis à publicité foncière]</w:t>
      </w:r>
    </w:p>
    <w:p w14:paraId="15012B7B" w14:textId="77777777" w:rsidR="00960C0B" w:rsidRPr="004B6A61" w:rsidRDefault="00960C0B" w:rsidP="00960C0B">
      <w:pPr>
        <w:shd w:val="clear" w:color="auto" w:fill="FFFFFF" w:themeFill="background1"/>
        <w:rPr>
          <w:iCs/>
          <w:szCs w:val="24"/>
        </w:rPr>
      </w:pPr>
    </w:p>
    <w:p w14:paraId="68EDC581" w14:textId="77777777" w:rsidR="00960C0B" w:rsidRPr="004B6A61" w:rsidRDefault="00960C0B" w:rsidP="00960C0B">
      <w:pPr>
        <w:shd w:val="clear" w:color="auto" w:fill="FFFFFF" w:themeFill="background1"/>
        <w:rPr>
          <w:iCs/>
          <w:szCs w:val="24"/>
        </w:rPr>
      </w:pPr>
      <w:r w:rsidRPr="004B6A61">
        <w:rPr>
          <w:iCs/>
          <w:szCs w:val="24"/>
        </w:rPr>
        <w:t xml:space="preserve">Lorsque la demande en justice doit faire l’objet d’une publication, </w:t>
      </w:r>
      <w:r w:rsidRPr="004B6A61">
        <w:rPr>
          <w:iCs/>
          <w:szCs w:val="24"/>
          <w:u w:val="single"/>
        </w:rPr>
        <w:t>l’article 54, 4°</w:t>
      </w:r>
      <w:r w:rsidRPr="004B6A61">
        <w:rPr>
          <w:iCs/>
          <w:szCs w:val="24"/>
        </w:rPr>
        <w:t xml:space="preserve"> du Code de procédure civile, exige que soient reproduites les mentions relatives à la désignation des immeubles exigées pour la publication au fichier immobilier qui figurent à </w:t>
      </w:r>
      <w:hyperlink r:id="rId7" w:history="1">
        <w:r w:rsidRPr="004B6A61">
          <w:rPr>
            <w:rStyle w:val="Lienhypertexte"/>
            <w:iCs/>
            <w:szCs w:val="24"/>
          </w:rPr>
          <w:t>l’article 76</w:t>
        </w:r>
      </w:hyperlink>
      <w:r w:rsidRPr="004B6A61">
        <w:rPr>
          <w:iCs/>
          <w:szCs w:val="24"/>
        </w:rPr>
        <w:t xml:space="preserve"> du </w:t>
      </w:r>
      <w:hyperlink r:id="rId8" w:history="1">
        <w:r w:rsidRPr="004B6A61">
          <w:rPr>
            <w:rStyle w:val="Lienhypertexte"/>
            <w:iCs/>
            <w:szCs w:val="24"/>
          </w:rPr>
          <w:t>décret n°55-1350 du 14 octobre 1955</w:t>
        </w:r>
      </w:hyperlink>
      <w:r w:rsidRPr="004B6A61">
        <w:rPr>
          <w:iCs/>
          <w:szCs w:val="24"/>
        </w:rPr>
        <w:t>.</w:t>
      </w:r>
    </w:p>
    <w:p w14:paraId="04BECC12" w14:textId="77777777" w:rsidR="00960C0B" w:rsidRPr="004B6A61" w:rsidRDefault="00960C0B" w:rsidP="00960C0B">
      <w:pPr>
        <w:shd w:val="clear" w:color="auto" w:fill="FFFFFF" w:themeFill="background1"/>
        <w:rPr>
          <w:iCs/>
          <w:szCs w:val="24"/>
        </w:rPr>
      </w:pPr>
    </w:p>
    <w:p w14:paraId="26A778BA" w14:textId="77777777" w:rsidR="00960C0B" w:rsidRPr="004B6A61" w:rsidRDefault="00960C0B" w:rsidP="00960C0B">
      <w:pPr>
        <w:shd w:val="clear" w:color="auto" w:fill="FFFFFF" w:themeFill="background1"/>
        <w:rPr>
          <w:iCs/>
          <w:szCs w:val="24"/>
        </w:rPr>
      </w:pPr>
      <w:r w:rsidRPr="004B6A61">
        <w:rPr>
          <w:iCs/>
          <w:szCs w:val="24"/>
        </w:rPr>
        <w:t>Dans un arrêt du 7 novembre 2012, la Cour de cassation est venue préciser que « </w:t>
      </w:r>
      <w:r w:rsidRPr="004B6A61">
        <w:rPr>
          <w:i/>
          <w:szCs w:val="24"/>
        </w:rPr>
        <w:t>le défaut de publication d'une demande tendant à l'annulation de droits résultant d'actes soumis à publicité constitue une fin de non-recevoir et non un vice de forme en affectant la validité</w:t>
      </w:r>
      <w:r w:rsidRPr="004B6A61">
        <w:rPr>
          <w:iCs/>
          <w:szCs w:val="24"/>
        </w:rPr>
        <w:t> » (</w:t>
      </w:r>
      <w:hyperlink r:id="rId9" w:history="1">
        <w:r w:rsidRPr="004B6A61">
          <w:rPr>
            <w:rStyle w:val="Lienhypertexte"/>
            <w:i/>
            <w:szCs w:val="24"/>
          </w:rPr>
          <w:t>Cass. 1</w:t>
        </w:r>
        <w:r w:rsidRPr="004B6A61">
          <w:rPr>
            <w:rStyle w:val="Lienhypertexte"/>
            <w:i/>
            <w:szCs w:val="24"/>
            <w:vertAlign w:val="superscript"/>
          </w:rPr>
          <w:t>ère</w:t>
        </w:r>
        <w:r w:rsidRPr="004B6A61">
          <w:rPr>
            <w:rStyle w:val="Lienhypertexte"/>
            <w:i/>
            <w:szCs w:val="24"/>
          </w:rPr>
          <w:t xml:space="preserve"> civ. 7 nov. 2012, n°11-22.275</w:t>
        </w:r>
      </w:hyperlink>
      <w:r w:rsidRPr="004B6A61">
        <w:rPr>
          <w:iCs/>
          <w:szCs w:val="24"/>
        </w:rPr>
        <w:t>).</w:t>
      </w: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lastRenderedPageBreak/>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DD52" w14:textId="77777777" w:rsidR="00CD0A5A" w:rsidRDefault="00CD0A5A">
      <w:r>
        <w:separator/>
      </w:r>
    </w:p>
  </w:endnote>
  <w:endnote w:type="continuationSeparator" w:id="0">
    <w:p w14:paraId="38585156" w14:textId="77777777" w:rsidR="00CD0A5A" w:rsidRDefault="00CD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3E5F1F">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77777777" w:rsidR="008D0A52" w:rsidRDefault="008D0A52">
    <w:pPr>
      <w:pStyle w:val="Pieddepage"/>
      <w:jc w:val="center"/>
    </w:pPr>
    <w:r>
      <w:fldChar w:fldCharType="begin"/>
    </w:r>
    <w:r>
      <w:instrText>PAGE   \* MERGEFORMAT</w:instrText>
    </w:r>
    <w:r>
      <w:fldChar w:fldCharType="separate"/>
    </w:r>
    <w:r w:rsidR="003E5F1F">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8B23" w14:textId="77777777" w:rsidR="00CD0A5A" w:rsidRDefault="00CD0A5A">
      <w:r>
        <w:separator/>
      </w:r>
    </w:p>
  </w:footnote>
  <w:footnote w:type="continuationSeparator" w:id="0">
    <w:p w14:paraId="5E9676D8" w14:textId="77777777" w:rsidR="00CD0A5A" w:rsidRDefault="00CD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8"/>
  </w:num>
  <w:num w:numId="5">
    <w:abstractNumId w:val="1"/>
  </w:num>
  <w:num w:numId="6">
    <w:abstractNumId w:val="6"/>
  </w:num>
  <w:num w:numId="7">
    <w:abstractNumId w:val="16"/>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0C0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D0A5A"/>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1546</Words>
  <Characters>8508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12</cp:revision>
  <cp:lastPrinted>2018-05-24T19:57:00Z</cp:lastPrinted>
  <dcterms:created xsi:type="dcterms:W3CDTF">2020-04-22T11:54:00Z</dcterms:created>
  <dcterms:modified xsi:type="dcterms:W3CDTF">2021-10-26T08:46:00Z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1042540951</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