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A10C3" w14:textId="77777777" w:rsidR="000D1039" w:rsidRDefault="000D1039" w:rsidP="000D1039">
      <w:r w:rsidRPr="00CA1BEA">
        <w:rPr>
          <w:i/>
        </w:rPr>
        <w:t>[N°]</w:t>
      </w:r>
      <w:r>
        <w:t xml:space="preserve"> Chambre </w:t>
      </w:r>
      <w:r w:rsidRPr="00CA1BEA">
        <w:rPr>
          <w:i/>
        </w:rPr>
        <w:t>[intitulé]</w:t>
      </w:r>
    </w:p>
    <w:p w14:paraId="0741EC93" w14:textId="77777777" w:rsidR="000D1039" w:rsidRDefault="000D1039" w:rsidP="000D1039">
      <w:pPr>
        <w:pStyle w:val="Normalsansretrait"/>
        <w:rPr>
          <w:i/>
        </w:rPr>
      </w:pPr>
      <w:r w:rsidRPr="00CA1BEA">
        <w:t xml:space="preserve">N° R.G. : </w:t>
      </w:r>
      <w:r w:rsidRPr="00CA1BEA">
        <w:rPr>
          <w:i/>
        </w:rPr>
        <w:t>[X]</w:t>
      </w:r>
    </w:p>
    <w:p w14:paraId="071D6DD1" w14:textId="77777777" w:rsidR="000D1039" w:rsidRPr="00763EAB" w:rsidRDefault="000D1039" w:rsidP="000D1039">
      <w:r>
        <w:t xml:space="preserve">Affaire : </w:t>
      </w:r>
      <w:r w:rsidRPr="00763EAB">
        <w:rPr>
          <w:i/>
        </w:rPr>
        <w:t>[nom du demandeur]</w:t>
      </w:r>
      <w:r>
        <w:t xml:space="preserve"> C/ </w:t>
      </w:r>
      <w:r w:rsidRPr="00763EAB">
        <w:rPr>
          <w:i/>
        </w:rPr>
        <w:t>[nom du défendeur]</w:t>
      </w:r>
    </w:p>
    <w:p w14:paraId="63CCCE71" w14:textId="295A31D9" w:rsidR="00AA1B57" w:rsidRPr="000D1039" w:rsidRDefault="00AA1B57" w:rsidP="000D1039">
      <w:pPr>
        <w:jc w:val="both"/>
        <w:rPr>
          <w:bCs/>
          <w:szCs w:val="24"/>
        </w:rPr>
      </w:pPr>
    </w:p>
    <w:p w14:paraId="04371CD7" w14:textId="77777777" w:rsidR="000D1039" w:rsidRPr="000D1039" w:rsidRDefault="000D1039" w:rsidP="000D1039">
      <w:pPr>
        <w:jc w:val="both"/>
        <w:rPr>
          <w:bCs/>
          <w:szCs w:val="24"/>
        </w:rPr>
      </w:pPr>
    </w:p>
    <w:p w14:paraId="4318A8EE" w14:textId="4AAF045A"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AUX FINS D’INTERPRÉTATION</w:t>
      </w:r>
    </w:p>
    <w:p w14:paraId="2415912C" w14:textId="210678A1"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10A2AB6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461</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6B37DA0E" w:rsidR="006678BE" w:rsidRDefault="006678BE" w:rsidP="006678BE">
      <w:r w:rsidRPr="00C640F3">
        <w:rPr>
          <w:b/>
          <w:u w:val="single"/>
        </w:rPr>
        <w:t>Ayant pour avocat</w:t>
      </w:r>
      <w:r w:rsidR="00B858B4">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996C272" w14:textId="77AE3AF2" w:rsidR="00455954" w:rsidRDefault="00455954" w:rsidP="003560F5"/>
    <w:p w14:paraId="72184435" w14:textId="26E1589F" w:rsidR="00455954" w:rsidRDefault="00455954" w:rsidP="003560F5"/>
    <w:p w14:paraId="2E119591" w14:textId="77777777" w:rsidR="00411173" w:rsidRDefault="00411173"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lastRenderedPageBreak/>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3CB32BD6" w:rsidR="00325E99" w:rsidRDefault="00DF04A3" w:rsidP="00325E99">
      <w:pPr>
        <w:jc w:val="both"/>
      </w:pPr>
      <w:r>
        <w:t xml:space="preserve">Par décision rendue en date du </w:t>
      </w:r>
      <w:r w:rsidRPr="008D22C4">
        <w:rPr>
          <w:i/>
          <w:iCs/>
        </w:rPr>
        <w:t>[date]</w:t>
      </w:r>
      <w:r>
        <w:t xml:space="preserve">, le </w:t>
      </w:r>
      <w:r w:rsidR="00950CD4" w:rsidRPr="00950CD4">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B9500F7" w14:textId="004ED541" w:rsidR="00DF04A3" w:rsidRDefault="00DF04A3" w:rsidP="00325E99">
      <w:pPr>
        <w:jc w:val="both"/>
      </w:pPr>
      <w:r>
        <w:t xml:space="preserve">Ainsi qu’il le sera démontré ci-après, l’exécution </w:t>
      </w:r>
      <w:r w:rsidR="003B6CFD">
        <w:t xml:space="preserve">de cette décision se heurte à une difficulté d’interprétation à laquelle il y a lieu de remédier. </w:t>
      </w:r>
    </w:p>
    <w:p w14:paraId="765655F2" w14:textId="77777777" w:rsidR="00DF04A3" w:rsidRDefault="00DF04A3" w:rsidP="00325E99">
      <w:pPr>
        <w:jc w:val="both"/>
      </w:pPr>
    </w:p>
    <w:p w14:paraId="0EE54C4A" w14:textId="2152A4FA" w:rsidR="00561018" w:rsidRPr="00C60C5F" w:rsidRDefault="00C72C12" w:rsidP="00C60C5F">
      <w:pPr>
        <w:pStyle w:val="Paragraphedeliste"/>
        <w:numPr>
          <w:ilvl w:val="0"/>
          <w:numId w:val="18"/>
        </w:numPr>
        <w:jc w:val="both"/>
        <w:rPr>
          <w:b/>
          <w:u w:val="single"/>
        </w:rPr>
      </w:pPr>
      <w:r w:rsidRPr="00C60C5F">
        <w:rPr>
          <w:b/>
          <w:u w:val="single"/>
        </w:rPr>
        <w:t>En droit</w:t>
      </w:r>
    </w:p>
    <w:p w14:paraId="2D875C52" w14:textId="411E902E" w:rsidR="00671991" w:rsidRDefault="00671991" w:rsidP="00325E99">
      <w:pPr>
        <w:jc w:val="both"/>
        <w:rPr>
          <w:u w:val="single"/>
        </w:rPr>
      </w:pPr>
    </w:p>
    <w:p w14:paraId="65757ADF" w14:textId="77777777" w:rsidR="00C60C5F" w:rsidRDefault="00C60C5F" w:rsidP="00C60C5F">
      <w:pPr>
        <w:jc w:val="both"/>
      </w:pPr>
      <w:r>
        <w:t>Il est des cas où, parce qu’une disposition de la décision rendue est obscure, ambiguë ou comporte une contradiction, les parties ne sont pas d’accord sur le sens ou la portée de ce qui a été tranché.</w:t>
      </w:r>
    </w:p>
    <w:p w14:paraId="66F79906" w14:textId="77777777" w:rsidR="00C60C5F" w:rsidRDefault="00C60C5F" w:rsidP="00C60C5F">
      <w:pPr>
        <w:jc w:val="both"/>
      </w:pPr>
    </w:p>
    <w:p w14:paraId="43B6571E" w14:textId="77777777" w:rsidR="00C60C5F" w:rsidRDefault="00C60C5F" w:rsidP="00C60C5F">
      <w:pPr>
        <w:jc w:val="both"/>
      </w:pPr>
      <w:r>
        <w:t xml:space="preserve">Dans cette hypothèse, un recours leur est ouvert aux fins d’obtenir du juge qui a statué une interprétation des termes discutés de la décision rendue. </w:t>
      </w:r>
    </w:p>
    <w:p w14:paraId="4538EEDE" w14:textId="77777777" w:rsidR="00C60C5F" w:rsidRDefault="00C60C5F" w:rsidP="00C60C5F">
      <w:pPr>
        <w:jc w:val="both"/>
      </w:pPr>
    </w:p>
    <w:p w14:paraId="343093BD" w14:textId="77777777" w:rsidR="00C60C5F" w:rsidRDefault="00C60C5F" w:rsidP="00C60C5F">
      <w:pPr>
        <w:jc w:val="both"/>
      </w:pPr>
      <w:r w:rsidRPr="002F7AF5">
        <w:rPr>
          <w:u w:val="single"/>
        </w:rPr>
        <w:t>L’article 461</w:t>
      </w:r>
      <w:r>
        <w:t xml:space="preserve"> du CPC prévoit en ce sens que « </w:t>
      </w:r>
      <w:r w:rsidRPr="002F7AF5">
        <w:rPr>
          <w:i/>
        </w:rPr>
        <w:t>il appartient à tout juge d'interpréter sa décision si elle n'est pas frappée d'appel.</w:t>
      </w:r>
      <w:r>
        <w:t> »</w:t>
      </w:r>
    </w:p>
    <w:p w14:paraId="46A09260" w14:textId="77777777" w:rsidR="00C60C5F" w:rsidRDefault="00C60C5F" w:rsidP="00C60C5F">
      <w:pPr>
        <w:jc w:val="both"/>
      </w:pPr>
    </w:p>
    <w:p w14:paraId="191C491D" w14:textId="77777777" w:rsidR="00C60C5F" w:rsidRDefault="00C60C5F" w:rsidP="00C60C5F">
      <w:pPr>
        <w:jc w:val="both"/>
      </w:pPr>
      <w:r>
        <w:t xml:space="preserve">L’objectif recherché est de prévenir une exécution de la décision rendue qui ne serait pas conforme à l’intention du juge. </w:t>
      </w:r>
    </w:p>
    <w:p w14:paraId="6D2DA803" w14:textId="77777777" w:rsidR="00C60C5F" w:rsidRDefault="00C60C5F" w:rsidP="00C60C5F">
      <w:pPr>
        <w:jc w:val="both"/>
      </w:pPr>
    </w:p>
    <w:p w14:paraId="0B936A10" w14:textId="77777777" w:rsidR="00C60C5F" w:rsidRPr="003971C9" w:rsidRDefault="00C60C5F" w:rsidP="00C60C5F">
      <w:pPr>
        <w:pStyle w:val="Paragraphedeliste"/>
        <w:numPr>
          <w:ilvl w:val="0"/>
          <w:numId w:val="20"/>
        </w:numPr>
        <w:jc w:val="both"/>
      </w:pPr>
      <w:r w:rsidRPr="003971C9">
        <w:rPr>
          <w:b/>
          <w:u w:val="single"/>
        </w:rPr>
        <w:t>Conditions de recevabilité du recours</w:t>
      </w:r>
    </w:p>
    <w:p w14:paraId="31589BBD" w14:textId="77777777" w:rsidR="00C60C5F" w:rsidRDefault="00C60C5F" w:rsidP="00C60C5F">
      <w:pPr>
        <w:jc w:val="both"/>
        <w:rPr>
          <w:rFonts w:cs="Times New Roman"/>
          <w:szCs w:val="24"/>
        </w:rPr>
      </w:pPr>
    </w:p>
    <w:p w14:paraId="2F5B76C8" w14:textId="77777777" w:rsidR="00C60C5F" w:rsidRPr="003971C9" w:rsidRDefault="00C60C5F" w:rsidP="00C60C5F">
      <w:pPr>
        <w:jc w:val="both"/>
        <w:rPr>
          <w:b/>
          <w:szCs w:val="24"/>
        </w:rPr>
      </w:pPr>
      <w:r w:rsidRPr="003971C9">
        <w:rPr>
          <w:b/>
          <w:szCs w:val="24"/>
        </w:rPr>
        <w:sym w:font="Wingdings" w:char="F0E8"/>
      </w:r>
      <w:r w:rsidRPr="003971C9">
        <w:rPr>
          <w:b/>
          <w:szCs w:val="24"/>
          <w:u w:val="single"/>
        </w:rPr>
        <w:t>Une décision obscure</w:t>
      </w:r>
    </w:p>
    <w:p w14:paraId="62E89751" w14:textId="77777777" w:rsidR="00C60C5F" w:rsidRDefault="00C60C5F" w:rsidP="00C60C5F">
      <w:pPr>
        <w:jc w:val="both"/>
        <w:rPr>
          <w:szCs w:val="24"/>
        </w:rPr>
      </w:pPr>
    </w:p>
    <w:p w14:paraId="1001F544" w14:textId="6DDC7608" w:rsidR="00C60C5F" w:rsidRPr="003971C9" w:rsidRDefault="00C60C5F" w:rsidP="00C60C5F">
      <w:pPr>
        <w:jc w:val="both"/>
        <w:rPr>
          <w:szCs w:val="24"/>
        </w:rPr>
      </w:pPr>
      <w:r w:rsidRPr="003971C9">
        <w:rPr>
          <w:szCs w:val="24"/>
        </w:rPr>
        <w:t>Pour que les parties à un litige soient recevable</w:t>
      </w:r>
      <w:r w:rsidR="00974B33">
        <w:rPr>
          <w:szCs w:val="24"/>
        </w:rPr>
        <w:t>s</w:t>
      </w:r>
      <w:r w:rsidRPr="003971C9">
        <w:rPr>
          <w:szCs w:val="24"/>
        </w:rPr>
        <w:t xml:space="preserve"> à exercer un recours en interprétation, il doit être démontré que les termes de la décision rendue prêtent à discussion et plus précisément que l’une de ses dispositions présente une ambig</w:t>
      </w:r>
      <w:r w:rsidR="00974B33">
        <w:rPr>
          <w:szCs w:val="24"/>
        </w:rPr>
        <w:t>uï</w:t>
      </w:r>
      <w:r w:rsidRPr="003971C9">
        <w:rPr>
          <w:szCs w:val="24"/>
        </w:rPr>
        <w:t>té, une obscurité ou une contradiction.</w:t>
      </w:r>
    </w:p>
    <w:p w14:paraId="362AE854" w14:textId="77777777" w:rsidR="00C60C5F" w:rsidRDefault="00C60C5F" w:rsidP="00C60C5F">
      <w:pPr>
        <w:jc w:val="both"/>
        <w:rPr>
          <w:szCs w:val="24"/>
        </w:rPr>
      </w:pPr>
    </w:p>
    <w:p w14:paraId="271FA1F4" w14:textId="77777777" w:rsidR="00C60C5F" w:rsidRPr="003971C9" w:rsidRDefault="00C60C5F" w:rsidP="00C60C5F">
      <w:pPr>
        <w:jc w:val="both"/>
        <w:rPr>
          <w:szCs w:val="24"/>
        </w:rPr>
      </w:pPr>
      <w:r w:rsidRPr="003971C9">
        <w:rPr>
          <w:szCs w:val="24"/>
        </w:rPr>
        <w:t>Dans un arrêt du 8 novembre 1976, la Cour de cassation a jugé en ce sens que « </w:t>
      </w:r>
      <w:r w:rsidRPr="003971C9">
        <w:rPr>
          <w:i/>
          <w:szCs w:val="24"/>
        </w:rPr>
        <w:t>si les juges ne peuvent, sous prétexte d'interpréter leurs décisions, les modifier, y ajouter ou les restreindre, il leur appartient d'en fixer le sens et d'en expliquer les dispositions dont les termes ont donné lieu à quelques doutes</w:t>
      </w:r>
      <w:r w:rsidRPr="003971C9">
        <w:rPr>
          <w:szCs w:val="24"/>
        </w:rPr>
        <w:t> » (</w:t>
      </w:r>
      <w:r w:rsidRPr="003971C9">
        <w:rPr>
          <w:i/>
          <w:szCs w:val="24"/>
          <w:u w:val="single"/>
        </w:rPr>
        <w:t>Cass. 1</w:t>
      </w:r>
      <w:r w:rsidRPr="003971C9">
        <w:rPr>
          <w:i/>
          <w:szCs w:val="24"/>
          <w:u w:val="single"/>
          <w:vertAlign w:val="superscript"/>
        </w:rPr>
        <w:t>ère</w:t>
      </w:r>
      <w:r w:rsidRPr="003971C9">
        <w:rPr>
          <w:i/>
          <w:szCs w:val="24"/>
          <w:u w:val="single"/>
        </w:rPr>
        <w:t xml:space="preserve"> civ. 8 nov. 1976, n°</w:t>
      </w:r>
      <w:r w:rsidRPr="003971C9">
        <w:rPr>
          <w:i/>
          <w:u w:val="single"/>
        </w:rPr>
        <w:t xml:space="preserve"> </w:t>
      </w:r>
      <w:r w:rsidRPr="003971C9">
        <w:rPr>
          <w:i/>
          <w:szCs w:val="24"/>
          <w:u w:val="single"/>
        </w:rPr>
        <w:t>75-12380</w:t>
      </w:r>
      <w:r w:rsidRPr="003971C9">
        <w:rPr>
          <w:szCs w:val="24"/>
        </w:rPr>
        <w:t>).</w:t>
      </w:r>
    </w:p>
    <w:p w14:paraId="0394D367" w14:textId="77777777" w:rsidR="00C60C5F" w:rsidRDefault="00C60C5F" w:rsidP="00C60C5F">
      <w:pPr>
        <w:jc w:val="both"/>
        <w:rPr>
          <w:szCs w:val="24"/>
        </w:rPr>
      </w:pPr>
    </w:p>
    <w:p w14:paraId="7F7ECE03" w14:textId="1813C72A" w:rsidR="00C60C5F" w:rsidRPr="003971C9" w:rsidRDefault="00974B33" w:rsidP="00C60C5F">
      <w:pPr>
        <w:jc w:val="both"/>
        <w:rPr>
          <w:szCs w:val="24"/>
        </w:rPr>
      </w:pPr>
      <w:r>
        <w:rPr>
          <w:szCs w:val="24"/>
        </w:rPr>
        <w:t>À</w:t>
      </w:r>
      <w:r w:rsidR="00C60C5F" w:rsidRPr="003971C9">
        <w:rPr>
          <w:szCs w:val="24"/>
        </w:rPr>
        <w:t xml:space="preserve"> l’inverse, lorsque la décision rendue est claire et précise, le recours en interprétation est irrecevable, les parties ne justifiant alors pas d’un intérêt à agir au sens de </w:t>
      </w:r>
      <w:r w:rsidR="00C60C5F" w:rsidRPr="003971C9">
        <w:rPr>
          <w:szCs w:val="24"/>
          <w:u w:val="single"/>
        </w:rPr>
        <w:t>l’article 31</w:t>
      </w:r>
      <w:r w:rsidR="00C60C5F" w:rsidRPr="003971C9">
        <w:rPr>
          <w:szCs w:val="24"/>
        </w:rPr>
        <w:t xml:space="preserve"> du Code de procédure civile (</w:t>
      </w:r>
      <w:r w:rsidR="00C60C5F" w:rsidRPr="003971C9">
        <w:rPr>
          <w:i/>
          <w:szCs w:val="24"/>
          <w:u w:val="single"/>
        </w:rPr>
        <w:t>Cass. 2</w:t>
      </w:r>
      <w:r w:rsidR="00C60C5F" w:rsidRPr="003971C9">
        <w:rPr>
          <w:i/>
          <w:szCs w:val="24"/>
          <w:u w:val="single"/>
          <w:vertAlign w:val="superscript"/>
        </w:rPr>
        <w:t>e</w:t>
      </w:r>
      <w:r w:rsidR="00C60C5F" w:rsidRPr="003971C9">
        <w:rPr>
          <w:i/>
          <w:szCs w:val="24"/>
          <w:u w:val="single"/>
        </w:rPr>
        <w:t xml:space="preserve"> civ. 22 oct. 2009, n°07-21834</w:t>
      </w:r>
      <w:r w:rsidR="00C60C5F" w:rsidRPr="003971C9">
        <w:rPr>
          <w:szCs w:val="24"/>
        </w:rPr>
        <w:t>).</w:t>
      </w:r>
    </w:p>
    <w:p w14:paraId="3EB240C0" w14:textId="77777777" w:rsidR="00C60C5F" w:rsidRDefault="00C60C5F" w:rsidP="00C60C5F">
      <w:pPr>
        <w:jc w:val="both"/>
        <w:rPr>
          <w:szCs w:val="24"/>
        </w:rPr>
      </w:pPr>
    </w:p>
    <w:p w14:paraId="576AE2BC" w14:textId="77777777" w:rsidR="00C60C5F" w:rsidRPr="003971C9" w:rsidRDefault="00C60C5F" w:rsidP="00C60C5F">
      <w:pPr>
        <w:jc w:val="both"/>
        <w:rPr>
          <w:szCs w:val="24"/>
        </w:rPr>
      </w:pPr>
      <w:r w:rsidRPr="003971C9">
        <w:rPr>
          <w:szCs w:val="24"/>
        </w:rPr>
        <w:t xml:space="preserve">Il est indifférent que les parties s’accordent sur le caractère obscur de la décision, celui-ci devant être appréciée objectivement (V. en ce sens </w:t>
      </w:r>
      <w:r w:rsidRPr="003971C9">
        <w:rPr>
          <w:i/>
          <w:szCs w:val="24"/>
          <w:u w:val="single"/>
        </w:rPr>
        <w:t>Cass. ch. Mixte, 6 juill. 1984</w:t>
      </w:r>
      <w:r w:rsidRPr="003971C9">
        <w:rPr>
          <w:szCs w:val="24"/>
        </w:rPr>
        <w:t xml:space="preserve">). </w:t>
      </w:r>
    </w:p>
    <w:p w14:paraId="3A893019" w14:textId="77777777" w:rsidR="00C60C5F" w:rsidRDefault="00C60C5F" w:rsidP="00C60C5F">
      <w:pPr>
        <w:jc w:val="both"/>
        <w:rPr>
          <w:szCs w:val="24"/>
        </w:rPr>
      </w:pPr>
    </w:p>
    <w:p w14:paraId="3C06F4D7" w14:textId="40ECF82A" w:rsidR="00C60C5F" w:rsidRPr="003971C9" w:rsidRDefault="00C60C5F" w:rsidP="00C60C5F">
      <w:pPr>
        <w:jc w:val="both"/>
        <w:rPr>
          <w:szCs w:val="24"/>
        </w:rPr>
      </w:pPr>
      <w:r w:rsidRPr="003971C9">
        <w:rPr>
          <w:szCs w:val="24"/>
        </w:rPr>
        <w:t>Seul compte l’existence d’une obscurité ou d’une ambig</w:t>
      </w:r>
      <w:r w:rsidR="00974B33">
        <w:rPr>
          <w:szCs w:val="24"/>
        </w:rPr>
        <w:t>uï</w:t>
      </w:r>
      <w:r w:rsidRPr="003971C9">
        <w:rPr>
          <w:szCs w:val="24"/>
        </w:rPr>
        <w:t>té qui rende incertaine, à tout le moins difficultueuse, l’exécution de la décision.</w:t>
      </w:r>
    </w:p>
    <w:p w14:paraId="71EBBA10" w14:textId="77777777" w:rsidR="00C60C5F" w:rsidRDefault="00C60C5F" w:rsidP="00C60C5F">
      <w:pPr>
        <w:jc w:val="both"/>
        <w:rPr>
          <w:szCs w:val="24"/>
        </w:rPr>
      </w:pPr>
    </w:p>
    <w:p w14:paraId="7B4DEF78" w14:textId="593D9C52" w:rsidR="00C60C5F" w:rsidRPr="003971C9" w:rsidRDefault="00974B33" w:rsidP="00C60C5F">
      <w:pPr>
        <w:jc w:val="both"/>
        <w:rPr>
          <w:szCs w:val="24"/>
        </w:rPr>
      </w:pPr>
      <w:r>
        <w:rPr>
          <w:szCs w:val="24"/>
        </w:rPr>
        <w:t>À</w:t>
      </w:r>
      <w:r w:rsidR="00C60C5F" w:rsidRPr="003971C9">
        <w:rPr>
          <w:szCs w:val="24"/>
        </w:rPr>
        <w:t xml:space="preserve"> cet égard, la Cour de cassation considère que les juges du fond sont investi</w:t>
      </w:r>
      <w:r>
        <w:rPr>
          <w:szCs w:val="24"/>
        </w:rPr>
        <w:t>s</w:t>
      </w:r>
      <w:r w:rsidR="00C60C5F" w:rsidRPr="003971C9">
        <w:rPr>
          <w:szCs w:val="24"/>
        </w:rPr>
        <w:t xml:space="preserve"> d’un pouvoir souverain pour juger de la nécessité d’interpréter, soit d’apprécier le caractère obscur ou ambigu d’une disposition du jugement (</w:t>
      </w:r>
      <w:r w:rsidR="00C60C5F" w:rsidRPr="003971C9">
        <w:rPr>
          <w:i/>
          <w:szCs w:val="24"/>
          <w:u w:val="single"/>
        </w:rPr>
        <w:t>Cass., com., 7 octobre 1981, n° 79-16416</w:t>
      </w:r>
      <w:r w:rsidR="00C60C5F" w:rsidRPr="003971C9">
        <w:rPr>
          <w:szCs w:val="24"/>
        </w:rPr>
        <w:t>)</w:t>
      </w:r>
    </w:p>
    <w:p w14:paraId="77E8D1F1" w14:textId="77777777" w:rsidR="00C60C5F" w:rsidRPr="00E6198C" w:rsidRDefault="00C60C5F" w:rsidP="00C60C5F">
      <w:pPr>
        <w:jc w:val="both"/>
        <w:rPr>
          <w:szCs w:val="24"/>
        </w:rPr>
      </w:pPr>
    </w:p>
    <w:p w14:paraId="39CAF46D" w14:textId="77777777" w:rsidR="00C60C5F" w:rsidRDefault="00C60C5F" w:rsidP="00C60C5F">
      <w:pPr>
        <w:jc w:val="both"/>
        <w:rPr>
          <w:b/>
          <w:szCs w:val="24"/>
        </w:rPr>
      </w:pPr>
      <w:r w:rsidRPr="003971C9">
        <w:rPr>
          <w:b/>
          <w:szCs w:val="24"/>
        </w:rPr>
        <w:sym w:font="Wingdings" w:char="F0E8"/>
      </w:r>
      <w:r w:rsidRPr="003971C9">
        <w:rPr>
          <w:b/>
          <w:szCs w:val="24"/>
          <w:u w:val="single"/>
        </w:rPr>
        <w:t>Une décision non frappée d’appel</w:t>
      </w:r>
    </w:p>
    <w:p w14:paraId="3A0FC666" w14:textId="77777777" w:rsidR="00C60C5F" w:rsidRDefault="00C60C5F" w:rsidP="00C60C5F">
      <w:pPr>
        <w:jc w:val="both"/>
        <w:rPr>
          <w:b/>
          <w:szCs w:val="24"/>
        </w:rPr>
      </w:pPr>
    </w:p>
    <w:p w14:paraId="0A3B17DE" w14:textId="77777777" w:rsidR="00C60C5F" w:rsidRPr="003971C9" w:rsidRDefault="00C60C5F" w:rsidP="00C60C5F">
      <w:pPr>
        <w:jc w:val="both"/>
        <w:rPr>
          <w:b/>
          <w:szCs w:val="24"/>
        </w:rPr>
      </w:pPr>
      <w:r w:rsidRPr="003971C9">
        <w:rPr>
          <w:szCs w:val="24"/>
          <w:u w:val="single"/>
        </w:rPr>
        <w:t>L’article 461</w:t>
      </w:r>
      <w:r w:rsidRPr="003971C9">
        <w:rPr>
          <w:szCs w:val="24"/>
        </w:rPr>
        <w:t xml:space="preserve"> du CPC prévoit que « </w:t>
      </w:r>
      <w:r w:rsidRPr="003971C9">
        <w:rPr>
          <w:i/>
          <w:szCs w:val="24"/>
        </w:rPr>
        <w:t>il appartient à tout juge d'interpréter sa décision si elle n'est pas frappée d'appel</w:t>
      </w:r>
      <w:r w:rsidRPr="003971C9">
        <w:rPr>
          <w:szCs w:val="24"/>
        </w:rPr>
        <w:t> ».</w:t>
      </w:r>
    </w:p>
    <w:p w14:paraId="180F46D7" w14:textId="77777777" w:rsidR="00C60C5F" w:rsidRDefault="00C60C5F" w:rsidP="00C60C5F">
      <w:pPr>
        <w:jc w:val="both"/>
        <w:rPr>
          <w:szCs w:val="24"/>
        </w:rPr>
      </w:pPr>
    </w:p>
    <w:p w14:paraId="1D1D5982" w14:textId="77777777" w:rsidR="00C60C5F" w:rsidRPr="003971C9" w:rsidRDefault="00C60C5F" w:rsidP="00C60C5F">
      <w:pPr>
        <w:jc w:val="both"/>
        <w:rPr>
          <w:szCs w:val="24"/>
        </w:rPr>
      </w:pPr>
      <w:r w:rsidRPr="003971C9">
        <w:rPr>
          <w:szCs w:val="24"/>
        </w:rPr>
        <w:t>Il ressort de cette disposition que l’appel fait obstacle à l’exercice du recours en interprétation.</w:t>
      </w:r>
    </w:p>
    <w:p w14:paraId="09FF9AEF" w14:textId="77777777" w:rsidR="00C60C5F" w:rsidRDefault="00C60C5F" w:rsidP="00C60C5F">
      <w:pPr>
        <w:jc w:val="both"/>
        <w:rPr>
          <w:szCs w:val="24"/>
        </w:rPr>
      </w:pPr>
    </w:p>
    <w:p w14:paraId="2DE779F9" w14:textId="77777777" w:rsidR="00C60C5F" w:rsidRPr="003971C9" w:rsidRDefault="00C60C5F" w:rsidP="00C60C5F">
      <w:pPr>
        <w:jc w:val="both"/>
        <w:rPr>
          <w:szCs w:val="24"/>
        </w:rPr>
      </w:pPr>
      <w:r w:rsidRPr="003971C9">
        <w:rPr>
          <w:szCs w:val="24"/>
        </w:rPr>
        <w:t>La raison en est que cette voie de réformation des décisions de justice produit un effet dévolutif, en ce sens que la Cour d’appel devient seule compétente pour connaître du litige à l’exclusion de toute autre juridiction</w:t>
      </w:r>
    </w:p>
    <w:p w14:paraId="243F134F" w14:textId="77777777" w:rsidR="00C60C5F" w:rsidRDefault="00C60C5F" w:rsidP="00C60C5F">
      <w:pPr>
        <w:jc w:val="both"/>
        <w:rPr>
          <w:szCs w:val="24"/>
        </w:rPr>
      </w:pPr>
    </w:p>
    <w:p w14:paraId="22D48CFA" w14:textId="77777777" w:rsidR="00C60C5F" w:rsidRPr="003971C9" w:rsidRDefault="00C60C5F" w:rsidP="00C60C5F">
      <w:pPr>
        <w:jc w:val="both"/>
        <w:rPr>
          <w:szCs w:val="24"/>
        </w:rPr>
      </w:pPr>
      <w:r w:rsidRPr="003971C9">
        <w:rPr>
          <w:szCs w:val="24"/>
        </w:rPr>
        <w:t>L’exercice du recours en interprétation redeviendra néanmoins possible en cas d’irrecevabilité de l’appel.</w:t>
      </w:r>
    </w:p>
    <w:p w14:paraId="4F310D0A" w14:textId="77777777" w:rsidR="00C60C5F" w:rsidRDefault="00C60C5F" w:rsidP="00C60C5F">
      <w:pPr>
        <w:jc w:val="both"/>
        <w:rPr>
          <w:szCs w:val="24"/>
        </w:rPr>
      </w:pPr>
    </w:p>
    <w:p w14:paraId="27CE17A5" w14:textId="77777777" w:rsidR="00C60C5F" w:rsidRPr="003971C9" w:rsidRDefault="00C60C5F" w:rsidP="00C60C5F">
      <w:pPr>
        <w:jc w:val="both"/>
        <w:rPr>
          <w:szCs w:val="24"/>
        </w:rPr>
      </w:pPr>
      <w:r w:rsidRPr="003971C9">
        <w:rPr>
          <w:szCs w:val="24"/>
        </w:rPr>
        <w:t>Quant au pourvoi en cassation, il est sans incidence sur le recours en interprétation qui peut parfaitement être exercé.</w:t>
      </w:r>
    </w:p>
    <w:p w14:paraId="286DD4B5" w14:textId="77777777" w:rsidR="00C60C5F" w:rsidRPr="001C6662" w:rsidRDefault="00C60C5F" w:rsidP="00C60C5F">
      <w:pPr>
        <w:jc w:val="both"/>
        <w:rPr>
          <w:szCs w:val="24"/>
        </w:rPr>
      </w:pPr>
    </w:p>
    <w:p w14:paraId="1885ED56" w14:textId="77777777" w:rsidR="00C60C5F" w:rsidRPr="003971C9" w:rsidRDefault="00C60C5F" w:rsidP="00C60C5F">
      <w:pPr>
        <w:pStyle w:val="Paragraphedeliste"/>
        <w:numPr>
          <w:ilvl w:val="0"/>
          <w:numId w:val="20"/>
        </w:numPr>
        <w:jc w:val="both"/>
      </w:pPr>
      <w:r w:rsidRPr="003971C9">
        <w:rPr>
          <w:b/>
          <w:u w:val="single"/>
        </w:rPr>
        <w:t>Pouvoirs du juge</w:t>
      </w:r>
    </w:p>
    <w:p w14:paraId="64EEBDF4" w14:textId="77777777" w:rsidR="00C60C5F" w:rsidRDefault="00C60C5F" w:rsidP="00C60C5F">
      <w:pPr>
        <w:jc w:val="both"/>
        <w:rPr>
          <w:rFonts w:cs="Times New Roman"/>
          <w:szCs w:val="24"/>
        </w:rPr>
      </w:pPr>
    </w:p>
    <w:p w14:paraId="35FA1EF2" w14:textId="77777777" w:rsidR="00C60C5F" w:rsidRDefault="00C60C5F" w:rsidP="00C60C5F">
      <w:pPr>
        <w:jc w:val="both"/>
        <w:rPr>
          <w:rFonts w:cs="Times New Roman"/>
          <w:szCs w:val="24"/>
        </w:rPr>
      </w:pPr>
      <w:r>
        <w:rPr>
          <w:rFonts w:cs="Times New Roman"/>
          <w:szCs w:val="24"/>
        </w:rPr>
        <w:t>Parce que le recours en interprétation vise seulement à éclairer les parties sur le sens ou la portée d’une décision rendue, le juge ne saurait en modifier les dispositions.</w:t>
      </w:r>
    </w:p>
    <w:p w14:paraId="5781F391" w14:textId="77777777" w:rsidR="00C60C5F" w:rsidRDefault="00C60C5F" w:rsidP="00C60C5F">
      <w:pPr>
        <w:jc w:val="both"/>
        <w:rPr>
          <w:rFonts w:cs="Times New Roman"/>
          <w:szCs w:val="24"/>
        </w:rPr>
      </w:pPr>
    </w:p>
    <w:p w14:paraId="2F69F0B9" w14:textId="2BA2CA16" w:rsidR="00C60C5F" w:rsidRDefault="00C60C5F" w:rsidP="00C60C5F">
      <w:pPr>
        <w:jc w:val="both"/>
        <w:rPr>
          <w:rFonts w:cs="Times New Roman"/>
          <w:szCs w:val="24"/>
        </w:rPr>
      </w:pPr>
      <w:r>
        <w:rPr>
          <w:rFonts w:cs="Times New Roman"/>
          <w:szCs w:val="24"/>
        </w:rPr>
        <w:t xml:space="preserve">Il en résulte qu’il ne peut, ni revenir sur les droits et obligations reconnues aux parties, ni modifier les mesures ou sanctions prononcées, ce pouvoir étant dévolu aux seules juridictions de réformation. </w:t>
      </w:r>
    </w:p>
    <w:p w14:paraId="0E44A407" w14:textId="77777777" w:rsidR="00C60C5F" w:rsidRDefault="00C60C5F" w:rsidP="00C60C5F">
      <w:pPr>
        <w:jc w:val="both"/>
        <w:rPr>
          <w:rFonts w:cs="Times New Roman"/>
          <w:szCs w:val="24"/>
        </w:rPr>
      </w:pPr>
    </w:p>
    <w:p w14:paraId="7A556A92" w14:textId="77777777" w:rsidR="00C60C5F" w:rsidRDefault="00C60C5F" w:rsidP="00C60C5F">
      <w:pPr>
        <w:jc w:val="both"/>
        <w:rPr>
          <w:rFonts w:cs="Times New Roman"/>
          <w:szCs w:val="24"/>
        </w:rPr>
      </w:pPr>
      <w:r>
        <w:rPr>
          <w:rFonts w:cs="Times New Roman"/>
          <w:szCs w:val="24"/>
        </w:rPr>
        <w:t>Régulièrement la Cour de cassation rappelle que « </w:t>
      </w:r>
      <w:r w:rsidRPr="00E6198C">
        <w:rPr>
          <w:rFonts w:cs="Times New Roman"/>
          <w:i/>
          <w:szCs w:val="24"/>
        </w:rPr>
        <w:t>les juges saisis d’une contestation relative à l’interprétation d’une précédente décision ne peuvent, sous prétexte d’en déterminer le sens, apporter une modification quelconque aux dispositions précises de celle-ci</w:t>
      </w:r>
      <w:r>
        <w:rPr>
          <w:rFonts w:cs="Times New Roman"/>
          <w:szCs w:val="24"/>
        </w:rPr>
        <w:t> » (</w:t>
      </w:r>
      <w:r w:rsidRPr="00E6198C">
        <w:rPr>
          <w:rFonts w:cs="Times New Roman"/>
          <w:i/>
          <w:szCs w:val="24"/>
          <w:u w:val="single"/>
        </w:rPr>
        <w:t>Cass. civ. 30 mars 1965</w:t>
      </w:r>
      <w:r>
        <w:rPr>
          <w:rFonts w:cs="Times New Roman"/>
          <w:szCs w:val="24"/>
        </w:rPr>
        <w:t>).</w:t>
      </w:r>
    </w:p>
    <w:p w14:paraId="39E64E90" w14:textId="77777777" w:rsidR="00C60C5F" w:rsidRDefault="00C60C5F" w:rsidP="00C60C5F">
      <w:pPr>
        <w:jc w:val="both"/>
        <w:rPr>
          <w:rFonts w:cs="Times New Roman"/>
          <w:szCs w:val="24"/>
        </w:rPr>
      </w:pPr>
    </w:p>
    <w:p w14:paraId="5360B6F7" w14:textId="3673A84D" w:rsidR="00C60C5F" w:rsidRDefault="00C60C5F" w:rsidP="00C60C5F">
      <w:pPr>
        <w:jc w:val="both"/>
        <w:rPr>
          <w:rFonts w:cs="Times New Roman"/>
          <w:szCs w:val="24"/>
        </w:rPr>
      </w:pPr>
      <w:r>
        <w:rPr>
          <w:rFonts w:cs="Times New Roman"/>
          <w:szCs w:val="24"/>
        </w:rPr>
        <w:t>Dans le même sens, la troisième chambre civil</w:t>
      </w:r>
      <w:r w:rsidR="00947AF3">
        <w:rPr>
          <w:rFonts w:cs="Times New Roman"/>
          <w:szCs w:val="24"/>
        </w:rPr>
        <w:t>e</w:t>
      </w:r>
      <w:r>
        <w:rPr>
          <w:rFonts w:cs="Times New Roman"/>
          <w:szCs w:val="24"/>
        </w:rPr>
        <w:t xml:space="preserve"> a jugé dans un arrêt du 2 juin 2015 que « </w:t>
      </w:r>
      <w:r w:rsidRPr="00E6198C">
        <w:rPr>
          <w:rFonts w:cs="Times New Roman"/>
          <w:i/>
          <w:szCs w:val="24"/>
        </w:rPr>
        <w:t>le juge, saisi d'une contestation relative à l'interprétation d'une précédente décision, ne peut, sous le prétexte d'en déterminer le sens, apporter une quelconque modification à cette dernière, en modifiant les droits et obligations qu'il a reconnus aux parties </w:t>
      </w:r>
      <w:r>
        <w:rPr>
          <w:rFonts w:cs="Times New Roman"/>
          <w:szCs w:val="24"/>
        </w:rPr>
        <w:t>»</w:t>
      </w:r>
      <w:r w:rsidRPr="00E6198C">
        <w:rPr>
          <w:rFonts w:cs="Times New Roman"/>
          <w:szCs w:val="24"/>
        </w:rPr>
        <w:t>. (</w:t>
      </w:r>
      <w:r w:rsidRPr="00E6198C">
        <w:rPr>
          <w:rFonts w:cs="Times New Roman"/>
          <w:i/>
          <w:szCs w:val="24"/>
          <w:u w:val="single"/>
        </w:rPr>
        <w:t>Cass. 3</w:t>
      </w:r>
      <w:r w:rsidRPr="00E6198C">
        <w:rPr>
          <w:rFonts w:cs="Times New Roman"/>
          <w:i/>
          <w:szCs w:val="24"/>
          <w:u w:val="single"/>
          <w:vertAlign w:val="superscript"/>
        </w:rPr>
        <w:t>e</w:t>
      </w:r>
      <w:r w:rsidRPr="00E6198C">
        <w:rPr>
          <w:rFonts w:cs="Times New Roman"/>
          <w:i/>
          <w:szCs w:val="24"/>
          <w:u w:val="single"/>
        </w:rPr>
        <w:t xml:space="preserve"> civ., 2 juin 2015, n°14-15043</w:t>
      </w:r>
      <w:r w:rsidRPr="00E6198C">
        <w:rPr>
          <w:rFonts w:cs="Times New Roman"/>
          <w:szCs w:val="24"/>
        </w:rPr>
        <w:t>).</w:t>
      </w:r>
    </w:p>
    <w:p w14:paraId="4057F49A" w14:textId="77777777" w:rsidR="00C60C5F" w:rsidRDefault="00C60C5F" w:rsidP="00C60C5F">
      <w:pPr>
        <w:jc w:val="both"/>
        <w:rPr>
          <w:rFonts w:cs="Times New Roman"/>
          <w:szCs w:val="24"/>
        </w:rPr>
      </w:pPr>
    </w:p>
    <w:p w14:paraId="094F8DBE" w14:textId="77777777" w:rsidR="00C60C5F" w:rsidRDefault="00C60C5F" w:rsidP="00C60C5F">
      <w:pPr>
        <w:jc w:val="both"/>
        <w:rPr>
          <w:rFonts w:cs="Times New Roman"/>
          <w:szCs w:val="24"/>
        </w:rPr>
      </w:pPr>
      <w:r>
        <w:rPr>
          <w:rFonts w:cs="Times New Roman"/>
          <w:szCs w:val="24"/>
        </w:rPr>
        <w:t>Il est indifférent que les dispositions de la décision déférée au juge pour interprétation soient erronées (</w:t>
      </w:r>
      <w:r w:rsidRPr="00FB6414">
        <w:rPr>
          <w:rFonts w:cs="Times New Roman"/>
          <w:i/>
          <w:szCs w:val="24"/>
          <w:u w:val="single"/>
        </w:rPr>
        <w:t>Cass. 1</w:t>
      </w:r>
      <w:r w:rsidRPr="00FB6414">
        <w:rPr>
          <w:rFonts w:cs="Times New Roman"/>
          <w:i/>
          <w:szCs w:val="24"/>
          <w:u w:val="single"/>
          <w:vertAlign w:val="superscript"/>
        </w:rPr>
        <w:t>ère</w:t>
      </w:r>
      <w:r w:rsidRPr="00FB6414">
        <w:rPr>
          <w:rFonts w:cs="Times New Roman"/>
          <w:i/>
          <w:szCs w:val="24"/>
          <w:u w:val="single"/>
        </w:rPr>
        <w:t xml:space="preserve"> civ. 28 mai 2008, n°07-16990</w:t>
      </w:r>
      <w:r>
        <w:rPr>
          <w:rFonts w:cs="Times New Roman"/>
          <w:szCs w:val="24"/>
        </w:rPr>
        <w:t xml:space="preserve">). Admettre la solution inverse reviendrait à porter atteinte à l’autorité de la chose jugée dont est assortie la décision rendue. </w:t>
      </w:r>
    </w:p>
    <w:p w14:paraId="4BFD64AD" w14:textId="77777777" w:rsidR="00C60C5F" w:rsidRDefault="00C60C5F" w:rsidP="00C60C5F">
      <w:pPr>
        <w:jc w:val="both"/>
        <w:rPr>
          <w:rFonts w:cs="Times New Roman"/>
          <w:szCs w:val="24"/>
        </w:rPr>
      </w:pPr>
    </w:p>
    <w:p w14:paraId="530C1298" w14:textId="77777777" w:rsidR="00C60C5F" w:rsidRDefault="00C60C5F" w:rsidP="00C60C5F">
      <w:pPr>
        <w:jc w:val="both"/>
        <w:rPr>
          <w:rFonts w:cs="Times New Roman"/>
          <w:szCs w:val="24"/>
        </w:rPr>
      </w:pPr>
      <w:r>
        <w:rPr>
          <w:rFonts w:cs="Times New Roman"/>
          <w:szCs w:val="24"/>
        </w:rPr>
        <w:t>Aussi, est-il fait interdiction au juge dans le cadre de l’exercice de son office d’interprétation de :</w:t>
      </w:r>
    </w:p>
    <w:p w14:paraId="11323194" w14:textId="77777777" w:rsidR="00C60C5F" w:rsidRDefault="00C60C5F" w:rsidP="00C60C5F">
      <w:pPr>
        <w:jc w:val="both"/>
        <w:rPr>
          <w:rFonts w:cs="Times New Roman"/>
          <w:szCs w:val="24"/>
        </w:rPr>
      </w:pPr>
    </w:p>
    <w:p w14:paraId="4DA4C4DF" w14:textId="77777777" w:rsidR="00C60C5F" w:rsidRDefault="00C60C5F" w:rsidP="00C60C5F">
      <w:pPr>
        <w:pStyle w:val="Paragraphedeliste"/>
        <w:numPr>
          <w:ilvl w:val="0"/>
          <w:numId w:val="19"/>
        </w:numPr>
        <w:jc w:val="both"/>
      </w:pPr>
      <w:r>
        <w:t xml:space="preserve">De prendre en compte des éléments de fait ou de </w:t>
      </w:r>
      <w:proofErr w:type="gramStart"/>
      <w:r>
        <w:t>droit nouveaux</w:t>
      </w:r>
      <w:proofErr w:type="gramEnd"/>
    </w:p>
    <w:p w14:paraId="45216B24" w14:textId="77777777" w:rsidR="00C60C5F" w:rsidRDefault="00C60C5F" w:rsidP="00C60C5F">
      <w:pPr>
        <w:pStyle w:val="Paragraphedeliste"/>
        <w:numPr>
          <w:ilvl w:val="0"/>
          <w:numId w:val="19"/>
        </w:numPr>
        <w:jc w:val="both"/>
      </w:pPr>
      <w:r>
        <w:lastRenderedPageBreak/>
        <w:t>De tirer des constatations établies dans sa décision des conséquences juridiques nouvelles</w:t>
      </w:r>
    </w:p>
    <w:p w14:paraId="2E180C89" w14:textId="77777777" w:rsidR="00C60C5F" w:rsidRPr="00FB6414" w:rsidRDefault="00C60C5F" w:rsidP="00C60C5F">
      <w:pPr>
        <w:pStyle w:val="Paragraphedeliste"/>
        <w:numPr>
          <w:ilvl w:val="0"/>
          <w:numId w:val="19"/>
        </w:numPr>
        <w:jc w:val="both"/>
      </w:pPr>
      <w:r>
        <w:t>D’opérer des ajouts, des substitutions ou encore des retranchements sur la décision rendue</w:t>
      </w:r>
    </w:p>
    <w:p w14:paraId="450FACCF" w14:textId="77777777" w:rsidR="003B6CFD" w:rsidRDefault="003B6CFD" w:rsidP="00325E99">
      <w:pPr>
        <w:jc w:val="both"/>
      </w:pPr>
    </w:p>
    <w:p w14:paraId="3CED7541" w14:textId="39D57F00" w:rsidR="00C72C12" w:rsidRPr="00C60C5F" w:rsidRDefault="00C72C12" w:rsidP="00C60C5F">
      <w:pPr>
        <w:pStyle w:val="Paragraphedeliste"/>
        <w:numPr>
          <w:ilvl w:val="0"/>
          <w:numId w:val="18"/>
        </w:numPr>
        <w:jc w:val="both"/>
        <w:rPr>
          <w:b/>
          <w:u w:val="single"/>
        </w:rPr>
      </w:pPr>
      <w:r w:rsidRPr="00C60C5F">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38D8AB1E"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de l’ambiguïté dont est frappée la décision déférée</w:t>
      </w:r>
      <w:r w:rsidR="003B490D">
        <w:t>,</w:t>
      </w:r>
      <w:r w:rsidR="00750D3B">
        <w:t xml:space="preserve"> </w:t>
      </w:r>
      <w:r w:rsidR="00CB0920">
        <w:t xml:space="preserve">il est demandé </w:t>
      </w:r>
      <w:r w:rsidR="003B6CFD">
        <w:t xml:space="preserve">au Tribunal de céans d’interpréter la disposition suivante : </w:t>
      </w:r>
      <w:r w:rsidR="003B6CFD" w:rsidRPr="003B6CFD">
        <w:rPr>
          <w:i/>
          <w:iCs/>
        </w:rPr>
        <w:t>[énoncé de la disposition à interpréter]</w:t>
      </w:r>
      <w:r w:rsidR="003B6CFD">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734E83C" w:rsidR="00DA2A59" w:rsidRDefault="00DA2A59" w:rsidP="00DA2A59">
      <w:pPr>
        <w:rPr>
          <w:i/>
        </w:rPr>
      </w:pPr>
      <w:r w:rsidRPr="00780FAB">
        <w:rPr>
          <w:i/>
        </w:rPr>
        <w:t>Vu l</w:t>
      </w:r>
      <w:r w:rsidR="008E18E6">
        <w:rPr>
          <w:i/>
        </w:rPr>
        <w:t xml:space="preserve">’article </w:t>
      </w:r>
      <w:r w:rsidR="002201BA">
        <w:rPr>
          <w:i/>
        </w:rPr>
        <w:t>461</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104E83A5" w:rsidR="008E2547" w:rsidRDefault="00DC5F3C" w:rsidP="008E2547">
      <w:pPr>
        <w:jc w:val="both"/>
      </w:pPr>
      <w:r>
        <w:t xml:space="preserve">Il est demandé au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4B07C0E" w:rsidR="00DA2A59" w:rsidRPr="001561F8" w:rsidRDefault="00834966" w:rsidP="00DA2A59">
      <w:pPr>
        <w:pStyle w:val="Paragraphedeliste"/>
        <w:numPr>
          <w:ilvl w:val="0"/>
          <w:numId w:val="3"/>
        </w:numPr>
        <w:jc w:val="both"/>
      </w:pPr>
      <w:r>
        <w:rPr>
          <w:b/>
        </w:rPr>
        <w:t xml:space="preserve">INTERPRÉTER </w:t>
      </w:r>
      <w:r w:rsidRPr="00834966">
        <w:rPr>
          <w:bCs/>
        </w:rPr>
        <w:t>la disposit</w:t>
      </w:r>
      <w:r>
        <w:rPr>
          <w:bCs/>
        </w:rPr>
        <w:t>ion suivante d</w:t>
      </w:r>
      <w:r w:rsidR="002254AE">
        <w:rPr>
          <w:bCs/>
        </w:rPr>
        <w:t xml:space="preserve">u </w:t>
      </w:r>
      <w:r w:rsidR="002254AE" w:rsidRPr="002254AE">
        <w:rPr>
          <w:bCs/>
          <w:i/>
          <w:iCs/>
        </w:rPr>
        <w:t>[jugement/ordonnance]</w:t>
      </w:r>
      <w:r w:rsidR="002254AE">
        <w:rPr>
          <w:bCs/>
        </w:rPr>
        <w:t xml:space="preserve"> </w:t>
      </w:r>
      <w:r>
        <w:rPr>
          <w:bCs/>
        </w:rPr>
        <w:t xml:space="preserve">rendu en date du </w:t>
      </w:r>
      <w:r w:rsidRPr="00834966">
        <w:rPr>
          <w:bCs/>
          <w:i/>
          <w:iCs/>
        </w:rPr>
        <w:t>[date]</w:t>
      </w:r>
      <w:r>
        <w:rPr>
          <w:bCs/>
        </w:rPr>
        <w:t xml:space="preserve"> par </w:t>
      </w:r>
      <w:r w:rsidRPr="00834966">
        <w:rPr>
          <w:bCs/>
          <w:i/>
          <w:iCs/>
        </w:rPr>
        <w:t>[juridiction]</w:t>
      </w:r>
      <w:r>
        <w:rPr>
          <w:bCs/>
        </w:rPr>
        <w:t xml:space="preserve"> : </w:t>
      </w:r>
      <w:r w:rsidRPr="00834966">
        <w:rPr>
          <w:bCs/>
          <w:i/>
          <w:iCs/>
        </w:rPr>
        <w:t>[énoncé de la disposition à interpréter]</w:t>
      </w:r>
      <w:r>
        <w:rPr>
          <w:bCs/>
        </w:rPr>
        <w:t>.</w:t>
      </w:r>
    </w:p>
    <w:p w14:paraId="1033D1E8" w14:textId="43F26A93" w:rsidR="001561F8" w:rsidRDefault="001561F8" w:rsidP="001561F8">
      <w:pPr>
        <w:jc w:val="both"/>
      </w:pPr>
    </w:p>
    <w:p w14:paraId="7D8AF0BE" w14:textId="77777777" w:rsidR="00101701" w:rsidRDefault="00101701" w:rsidP="00101701">
      <w:pPr>
        <w:pStyle w:val="Paragraphedeliste"/>
        <w:numPr>
          <w:ilvl w:val="0"/>
          <w:numId w:val="17"/>
        </w:numPr>
        <w:jc w:val="both"/>
      </w:pPr>
      <w:r>
        <w:rPr>
          <w:b/>
        </w:rPr>
        <w:t>FIXER</w:t>
      </w:r>
      <w:r>
        <w:t xml:space="preserve"> les jour et heure où les parties seront appelées pour être entendues sur la présente demande de rectification et convoquer les parties à cette fin.</w:t>
      </w:r>
    </w:p>
    <w:p w14:paraId="77CD3E9B" w14:textId="77777777" w:rsidR="00101701" w:rsidRDefault="00101701" w:rsidP="001561F8">
      <w:pPr>
        <w:jc w:val="both"/>
      </w:pPr>
    </w:p>
    <w:p w14:paraId="10D62D7E" w14:textId="45D940AA"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34966" w:rsidRPr="00834966">
        <w:rPr>
          <w:bCs/>
        </w:rPr>
        <w:t>interprétative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103C5B1A" w:rsidR="004F7254" w:rsidRPr="00BD3368" w:rsidRDefault="00A32874" w:rsidP="00BD3368">
      <w:pPr>
        <w:pStyle w:val="Paragraphedeliste"/>
        <w:numPr>
          <w:ilvl w:val="0"/>
          <w:numId w:val="3"/>
        </w:numPr>
        <w:jc w:val="both"/>
        <w:rPr>
          <w:b/>
        </w:rPr>
      </w:pPr>
      <w:r>
        <w:rPr>
          <w:b/>
        </w:rPr>
        <w:t>STATUER</w:t>
      </w:r>
      <w:r>
        <w:rPr>
          <w:bCs/>
        </w:rPr>
        <w:t xml:space="preserve"> sur ce que de droit sur les dépens</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D21683"/>
    <w:multiLevelType w:val="hybridMultilevel"/>
    <w:tmpl w:val="2A704D84"/>
    <w:lvl w:ilvl="0" w:tplc="208CDD1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6"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8E7A49"/>
    <w:multiLevelType w:val="hybridMultilevel"/>
    <w:tmpl w:val="4DD0A134"/>
    <w:lvl w:ilvl="0" w:tplc="D06EA826">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3"/>
  </w:num>
  <w:num w:numId="5">
    <w:abstractNumId w:val="15"/>
  </w:num>
  <w:num w:numId="6">
    <w:abstractNumId w:val="10"/>
  </w:num>
  <w:num w:numId="7">
    <w:abstractNumId w:val="4"/>
  </w:num>
  <w:num w:numId="8">
    <w:abstractNumId w:val="6"/>
  </w:num>
  <w:num w:numId="9">
    <w:abstractNumId w:val="2"/>
  </w:num>
  <w:num w:numId="10">
    <w:abstractNumId w:val="13"/>
  </w:num>
  <w:num w:numId="11">
    <w:abstractNumId w:val="0"/>
  </w:num>
  <w:num w:numId="12">
    <w:abstractNumId w:val="5"/>
  </w:num>
  <w:num w:numId="13">
    <w:abstractNumId w:val="8"/>
  </w:num>
  <w:num w:numId="14">
    <w:abstractNumId w:val="16"/>
  </w:num>
  <w:num w:numId="15">
    <w:abstractNumId w:val="11"/>
  </w:num>
  <w:num w:numId="16">
    <w:abstractNumId w:val="9"/>
  </w:num>
  <w:num w:numId="17">
    <w:abstractNumId w:val="1"/>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3E97"/>
    <w:rsid w:val="00034742"/>
    <w:rsid w:val="00047202"/>
    <w:rsid w:val="00047FE3"/>
    <w:rsid w:val="0006170A"/>
    <w:rsid w:val="00071B90"/>
    <w:rsid w:val="000C256D"/>
    <w:rsid w:val="000D1039"/>
    <w:rsid w:val="000E08B1"/>
    <w:rsid w:val="00101701"/>
    <w:rsid w:val="00123D99"/>
    <w:rsid w:val="00132F4B"/>
    <w:rsid w:val="00141E2A"/>
    <w:rsid w:val="00153CB6"/>
    <w:rsid w:val="00155CC8"/>
    <w:rsid w:val="001561F8"/>
    <w:rsid w:val="00156325"/>
    <w:rsid w:val="00167FA0"/>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B7C6C"/>
    <w:rsid w:val="002D7840"/>
    <w:rsid w:val="002E2724"/>
    <w:rsid w:val="002E7AEB"/>
    <w:rsid w:val="002E7DA2"/>
    <w:rsid w:val="002F03A9"/>
    <w:rsid w:val="0032158A"/>
    <w:rsid w:val="00325E99"/>
    <w:rsid w:val="003433EA"/>
    <w:rsid w:val="003560F5"/>
    <w:rsid w:val="003647A4"/>
    <w:rsid w:val="00374611"/>
    <w:rsid w:val="003774B0"/>
    <w:rsid w:val="00381CA2"/>
    <w:rsid w:val="00397112"/>
    <w:rsid w:val="003A2854"/>
    <w:rsid w:val="003B490D"/>
    <w:rsid w:val="003B6CFD"/>
    <w:rsid w:val="003C731B"/>
    <w:rsid w:val="003D33E8"/>
    <w:rsid w:val="00404DB4"/>
    <w:rsid w:val="00406BA0"/>
    <w:rsid w:val="00411173"/>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707A1C"/>
    <w:rsid w:val="007127D7"/>
    <w:rsid w:val="00720291"/>
    <w:rsid w:val="0072182B"/>
    <w:rsid w:val="00723FD7"/>
    <w:rsid w:val="00726412"/>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9457C"/>
    <w:rsid w:val="008B674C"/>
    <w:rsid w:val="008C084B"/>
    <w:rsid w:val="008C527D"/>
    <w:rsid w:val="008C789B"/>
    <w:rsid w:val="008D1E11"/>
    <w:rsid w:val="008D22C4"/>
    <w:rsid w:val="008E18E6"/>
    <w:rsid w:val="008E2547"/>
    <w:rsid w:val="008E28B5"/>
    <w:rsid w:val="008F01DA"/>
    <w:rsid w:val="008F025E"/>
    <w:rsid w:val="009108BE"/>
    <w:rsid w:val="00912E71"/>
    <w:rsid w:val="009400FE"/>
    <w:rsid w:val="00947AF3"/>
    <w:rsid w:val="00950CD4"/>
    <w:rsid w:val="009561AF"/>
    <w:rsid w:val="00960909"/>
    <w:rsid w:val="00971C6D"/>
    <w:rsid w:val="00974B33"/>
    <w:rsid w:val="00984099"/>
    <w:rsid w:val="00984912"/>
    <w:rsid w:val="009B1F1A"/>
    <w:rsid w:val="009C32FB"/>
    <w:rsid w:val="009D587A"/>
    <w:rsid w:val="009D7562"/>
    <w:rsid w:val="00A0788E"/>
    <w:rsid w:val="00A07A63"/>
    <w:rsid w:val="00A169D6"/>
    <w:rsid w:val="00A20FA9"/>
    <w:rsid w:val="00A25604"/>
    <w:rsid w:val="00A3053B"/>
    <w:rsid w:val="00A32874"/>
    <w:rsid w:val="00A37792"/>
    <w:rsid w:val="00A70897"/>
    <w:rsid w:val="00AA1B57"/>
    <w:rsid w:val="00AA7009"/>
    <w:rsid w:val="00AB4A3B"/>
    <w:rsid w:val="00B00B31"/>
    <w:rsid w:val="00B03ECC"/>
    <w:rsid w:val="00B13005"/>
    <w:rsid w:val="00B1652A"/>
    <w:rsid w:val="00B775CF"/>
    <w:rsid w:val="00B858B4"/>
    <w:rsid w:val="00BB70E0"/>
    <w:rsid w:val="00BC25C0"/>
    <w:rsid w:val="00BD3368"/>
    <w:rsid w:val="00BD4665"/>
    <w:rsid w:val="00BE5D45"/>
    <w:rsid w:val="00C04CF7"/>
    <w:rsid w:val="00C07E9A"/>
    <w:rsid w:val="00C11647"/>
    <w:rsid w:val="00C12ADA"/>
    <w:rsid w:val="00C13F96"/>
    <w:rsid w:val="00C4758D"/>
    <w:rsid w:val="00C60C5F"/>
    <w:rsid w:val="00C72C12"/>
    <w:rsid w:val="00CA3496"/>
    <w:rsid w:val="00CB0920"/>
    <w:rsid w:val="00CB3BE1"/>
    <w:rsid w:val="00CB44EC"/>
    <w:rsid w:val="00CC4915"/>
    <w:rsid w:val="00CD5594"/>
    <w:rsid w:val="00CE7DDC"/>
    <w:rsid w:val="00D058FC"/>
    <w:rsid w:val="00D13055"/>
    <w:rsid w:val="00D37BE5"/>
    <w:rsid w:val="00D4188B"/>
    <w:rsid w:val="00D51BF0"/>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E1873"/>
    <w:rsid w:val="00EF613A"/>
    <w:rsid w:val="00F11F06"/>
    <w:rsid w:val="00F15935"/>
    <w:rsid w:val="00F339ED"/>
    <w:rsid w:val="00F45375"/>
    <w:rsid w:val="00F5461B"/>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0D1039"/>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4785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1176</Words>
  <Characters>6470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11</cp:revision>
  <cp:lastPrinted>2018-12-27T11:23:00Z</cp:lastPrinted>
  <dcterms:created xsi:type="dcterms:W3CDTF">2020-08-28T21:33:00Z</dcterms:created>
  <dcterms:modified xsi:type="dcterms:W3CDTF">2020-08-31T21:32:00Z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