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7A4B29DE"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F71F8F">
        <w:rPr>
          <w:b/>
          <w:sz w:val="32"/>
          <w:szCs w:val="32"/>
        </w:rPr>
        <w:t>PRÉSIDENT PR</w:t>
      </w:r>
      <w:r w:rsidR="00F71F8F">
        <w:rPr>
          <w:rFonts w:cs="Times New Roman"/>
          <w:b/>
          <w:sz w:val="32"/>
          <w:szCs w:val="32"/>
        </w:rPr>
        <w:t>È</w:t>
      </w:r>
      <w:r w:rsidR="00F71F8F">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lastRenderedPageBreak/>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2BA19065"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2DAE914C"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9D6B04">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7759AF00" w:rsidR="00815A21" w:rsidRDefault="009D6B04"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469B9AD8"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9D6B04">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6985956B"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9D6B04">
        <w:t>é</w:t>
      </w:r>
      <w:r>
        <w:t xml:space="preserve"> sur un chef de demande ?</w:t>
      </w:r>
    </w:p>
    <w:p w14:paraId="2FCD0B32" w14:textId="053A8F12" w:rsidR="00815A21" w:rsidRDefault="00815A21" w:rsidP="00815A21">
      <w:pPr>
        <w:pStyle w:val="Paragraphedeliste"/>
        <w:numPr>
          <w:ilvl w:val="1"/>
          <w:numId w:val="18"/>
        </w:numPr>
        <w:jc w:val="both"/>
      </w:pPr>
      <w:r>
        <w:t>Dans un arrêt du 2 novembre 1999, la Cour de cassation</w:t>
      </w:r>
      <w:r w:rsidR="009D6B04">
        <w:t>,</w:t>
      </w:r>
      <w:r>
        <w:t xml:space="preserve"> réunie en assemblée plénière</w:t>
      </w:r>
      <w:r w:rsidR="009D6B04">
        <w:t xml:space="preserve">, a </w:t>
      </w:r>
      <w:r>
        <w:t>opt</w:t>
      </w:r>
      <w:r w:rsidR="009D6B04">
        <w:t>é</w:t>
      </w:r>
      <w:r>
        <w:t xml:space="preserve"> pour la qualification d’omission de statuer (</w:t>
      </w:r>
      <w:r w:rsidRPr="00DF029C">
        <w:rPr>
          <w:i/>
          <w:u w:val="single"/>
        </w:rPr>
        <w:t xml:space="preserve">Cass. </w:t>
      </w:r>
      <w:proofErr w:type="spellStart"/>
      <w:r w:rsidRPr="00DF029C">
        <w:rPr>
          <w:i/>
          <w:u w:val="single"/>
        </w:rPr>
        <w:t>ass</w:t>
      </w:r>
      <w:proofErr w:type="spellEnd"/>
      <w:r w:rsidRPr="00DF029C">
        <w:rPr>
          <w:i/>
          <w:u w:val="single"/>
        </w:rPr>
        <w:t xml:space="preserve">. </w:t>
      </w:r>
      <w:proofErr w:type="spellStart"/>
      <w:r w:rsidRPr="00DF029C">
        <w:rPr>
          <w:i/>
          <w:u w:val="single"/>
        </w:rPr>
        <w:t>Plen</w:t>
      </w:r>
      <w:proofErr w:type="spellEnd"/>
      <w:r w:rsidRPr="00DF029C">
        <w:rPr>
          <w:i/>
          <w:u w:val="single"/>
        </w:rPr>
        <w:t>.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45DA3F89" w:rsidR="00815A21" w:rsidRDefault="00815A21" w:rsidP="00815A21">
      <w:pPr>
        <w:pStyle w:val="Paragraphedeliste"/>
        <w:numPr>
          <w:ilvl w:val="1"/>
          <w:numId w:val="18"/>
        </w:numPr>
        <w:jc w:val="both"/>
      </w:pPr>
      <w:r>
        <w:t>Si, en revanche, le rejet est justifié dans la motivation de la décision, l’omission de statu</w:t>
      </w:r>
      <w:r w:rsidR="009D6B04">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60C44535" w:rsidR="00815A21" w:rsidRDefault="00815A21" w:rsidP="00815A21">
      <w:pPr>
        <w:jc w:val="both"/>
      </w:pPr>
      <w:r>
        <w:t>Ainsi sont fixé</w:t>
      </w:r>
      <w:r w:rsidR="009D6B04">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649FE54F"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4EB1D102" w:rsidR="00815A21" w:rsidRDefault="00815A21" w:rsidP="00815A21">
      <w:pPr>
        <w:jc w:val="both"/>
      </w:pPr>
      <w:r>
        <w:t>Cette exige</w:t>
      </w:r>
      <w:r w:rsidR="009D6B04">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1FEF99BA"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w:t>
      </w:r>
      <w:r w:rsidR="00F71F8F">
        <w:t xml:space="preserve">Président près le </w:t>
      </w:r>
      <w:r w:rsidR="003B6CFD">
        <w:t xml:space="preserve">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2FFB3882" w:rsidR="008E2547" w:rsidRDefault="00DC5F3C" w:rsidP="008E2547">
      <w:pPr>
        <w:jc w:val="both"/>
      </w:pPr>
      <w:r>
        <w:t xml:space="preserve">Il est demandé au </w:t>
      </w:r>
      <w:r w:rsidR="00705620">
        <w:t xml:space="preserve">Président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73C05" w14:textId="77777777" w:rsidR="00885C01" w:rsidRDefault="00885C01" w:rsidP="00815A21">
      <w:r>
        <w:separator/>
      </w:r>
    </w:p>
  </w:endnote>
  <w:endnote w:type="continuationSeparator" w:id="0">
    <w:p w14:paraId="52E2E7A1" w14:textId="77777777" w:rsidR="00885C01" w:rsidRDefault="00885C01"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26DC2" w14:textId="77777777" w:rsidR="00885C01" w:rsidRDefault="00885C01" w:rsidP="00815A21">
      <w:r>
        <w:separator/>
      </w:r>
    </w:p>
  </w:footnote>
  <w:footnote w:type="continuationSeparator" w:id="0">
    <w:p w14:paraId="55B250A1" w14:textId="77777777" w:rsidR="00885C01" w:rsidRDefault="00885C01"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14B"/>
    <w:rsid w:val="005C3B56"/>
    <w:rsid w:val="005D3C08"/>
    <w:rsid w:val="005F0B93"/>
    <w:rsid w:val="005F3ECE"/>
    <w:rsid w:val="0060231A"/>
    <w:rsid w:val="00603777"/>
    <w:rsid w:val="00633631"/>
    <w:rsid w:val="006347B3"/>
    <w:rsid w:val="00641A1F"/>
    <w:rsid w:val="00647B38"/>
    <w:rsid w:val="00655C86"/>
    <w:rsid w:val="0066081C"/>
    <w:rsid w:val="00666DD1"/>
    <w:rsid w:val="006678BE"/>
    <w:rsid w:val="00671991"/>
    <w:rsid w:val="006A290E"/>
    <w:rsid w:val="006A7B22"/>
    <w:rsid w:val="006C3BA3"/>
    <w:rsid w:val="006E2390"/>
    <w:rsid w:val="006F7DEF"/>
    <w:rsid w:val="00705620"/>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81A3F"/>
    <w:rsid w:val="00885C01"/>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6B04"/>
    <w:rsid w:val="009D7562"/>
    <w:rsid w:val="00A04E7C"/>
    <w:rsid w:val="00A0788E"/>
    <w:rsid w:val="00A07A63"/>
    <w:rsid w:val="00A169D6"/>
    <w:rsid w:val="00A20FA9"/>
    <w:rsid w:val="00A3053B"/>
    <w:rsid w:val="00A32874"/>
    <w:rsid w:val="00A37792"/>
    <w:rsid w:val="00A66B1A"/>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613A"/>
    <w:rsid w:val="00F11F06"/>
    <w:rsid w:val="00F15935"/>
    <w:rsid w:val="00F31F04"/>
    <w:rsid w:val="00F339ED"/>
    <w:rsid w:val="00F45375"/>
    <w:rsid w:val="00F5461B"/>
    <w:rsid w:val="00F54B10"/>
    <w:rsid w:val="00F71F8F"/>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1811</Words>
  <Characters>9964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22</cp:revision>
  <cp:lastPrinted>2018-12-27T11:23:00Z</cp:lastPrinted>
  <dcterms:created xsi:type="dcterms:W3CDTF">2020-08-31T11:32:00Z</dcterms:created>
  <dcterms:modified xsi:type="dcterms:W3CDTF">2020-10-11T19:30:00Z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