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820F" w14:textId="77777777" w:rsidR="00E92C1E" w:rsidRPr="00E92C1E" w:rsidRDefault="00E92C1E" w:rsidP="00E92C1E">
      <w:pPr>
        <w:jc w:val="both"/>
        <w:rPr>
          <w:bCs/>
          <w:szCs w:val="24"/>
        </w:rPr>
      </w:pPr>
    </w:p>
    <w:p w14:paraId="452FD9A5" w14:textId="2A38A36B" w:rsidR="00786FEA" w:rsidRDefault="000617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98320A">
        <w:rPr>
          <w:rFonts w:cs="Times New Roman"/>
          <w:b/>
          <w:sz w:val="32"/>
          <w:szCs w:val="32"/>
        </w:rPr>
        <w:t>AUX FINS DE CONCILIATION</w:t>
      </w:r>
      <w:r w:rsidR="00786FEA">
        <w:rPr>
          <w:b/>
          <w:sz w:val="32"/>
          <w:szCs w:val="32"/>
        </w:rPr>
        <w:t xml:space="preserve"> </w:t>
      </w:r>
    </w:p>
    <w:p w14:paraId="1A56C94C" w14:textId="625901D2" w:rsidR="005414B1" w:rsidRDefault="009832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46110A">
        <w:rPr>
          <w:b/>
          <w:sz w:val="32"/>
          <w:szCs w:val="32"/>
        </w:rPr>
        <w:t>LE</w:t>
      </w:r>
      <w:r w:rsidR="0046110A" w:rsidRPr="004C17BE">
        <w:rPr>
          <w:b/>
          <w:sz w:val="32"/>
          <w:szCs w:val="32"/>
        </w:rPr>
        <w:t xml:space="preserve"> </w:t>
      </w:r>
      <w:r w:rsidR="0046110A">
        <w:rPr>
          <w:b/>
          <w:sz w:val="32"/>
          <w:szCs w:val="32"/>
        </w:rPr>
        <w:t>JUGE DES CONTENTIEUX DE LA PROTECTION PR</w:t>
      </w:r>
      <w:r w:rsidR="0046110A">
        <w:rPr>
          <w:rFonts w:cs="Times New Roman"/>
          <w:b/>
          <w:sz w:val="32"/>
          <w:szCs w:val="32"/>
        </w:rPr>
        <w:t>È</w:t>
      </w:r>
      <w:r w:rsidR="0046110A"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LE</w:t>
      </w:r>
      <w:r w:rsidR="002549DB">
        <w:rPr>
          <w:b/>
          <w:sz w:val="32"/>
          <w:szCs w:val="32"/>
        </w:rPr>
        <w:t xml:space="preserve"> </w:t>
      </w:r>
      <w:r w:rsidR="005414B1" w:rsidRPr="004C17BE">
        <w:rPr>
          <w:b/>
          <w:sz w:val="32"/>
          <w:szCs w:val="32"/>
        </w:rPr>
        <w:t xml:space="preserve">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53A23E09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1232CD7E" w14:textId="58B5A07F" w:rsidR="00C139D5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139D5">
        <w:rPr>
          <w:b/>
          <w:i/>
          <w:iCs/>
          <w:sz w:val="28"/>
          <w:szCs w:val="28"/>
        </w:rPr>
        <w:t>Article 8</w:t>
      </w:r>
      <w:r w:rsidR="00A00FE5">
        <w:rPr>
          <w:b/>
          <w:i/>
          <w:iCs/>
          <w:sz w:val="28"/>
          <w:szCs w:val="28"/>
        </w:rPr>
        <w:t>20</w:t>
      </w:r>
      <w:r w:rsidRPr="00C139D5">
        <w:rPr>
          <w:b/>
          <w:i/>
          <w:iCs/>
          <w:sz w:val="28"/>
          <w:szCs w:val="28"/>
        </w:rPr>
        <w:t xml:space="preserve"> du Code de procédure civile</w:t>
      </w:r>
      <w:r>
        <w:rPr>
          <w:b/>
          <w:sz w:val="28"/>
          <w:szCs w:val="28"/>
        </w:rPr>
        <w:t>)</w:t>
      </w:r>
    </w:p>
    <w:p w14:paraId="6D1F87C2" w14:textId="77777777" w:rsidR="00C139D5" w:rsidRPr="00AA1B57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447D243E" w14:textId="4BD6C223" w:rsidR="00AE2D90" w:rsidRDefault="00AE2D90" w:rsidP="00AE2D90">
      <w:r>
        <w:rPr>
          <w:b/>
          <w:u w:val="single"/>
        </w:rPr>
        <w:t>Ayant pour avocat</w:t>
      </w:r>
      <w:r w:rsidR="00DB743A">
        <w:rPr>
          <w:b/>
          <w:u w:val="single"/>
        </w:rPr>
        <w:t> :</w:t>
      </w:r>
    </w:p>
    <w:p w14:paraId="0FE43358" w14:textId="77777777" w:rsidR="00AE2D90" w:rsidRDefault="00AE2D90" w:rsidP="00AE2D90"/>
    <w:p w14:paraId="4092821F" w14:textId="77777777" w:rsidR="00AE2D90" w:rsidRDefault="00AE2D90" w:rsidP="00AE2D90">
      <w:pPr>
        <w:rPr>
          <w:i/>
        </w:rPr>
      </w:pPr>
      <w:r>
        <w:rPr>
          <w:b/>
        </w:rPr>
        <w:t xml:space="preserve">Maître </w:t>
      </w:r>
      <w:r>
        <w:rPr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4F96C038" w14:textId="77777777" w:rsidR="00AE2D90" w:rsidRDefault="00AE2D90" w:rsidP="00AE2D90"/>
    <w:p w14:paraId="6558FFD4" w14:textId="77777777" w:rsidR="00AE2D90" w:rsidRDefault="00AE2D90" w:rsidP="00AE2D90">
      <w:r>
        <w:t>Au cabinet duquel il est fait élection de domicile et qui se constitue sur la présente assignation et ses suites</w:t>
      </w:r>
    </w:p>
    <w:p w14:paraId="7DD1BF98" w14:textId="78C6901D" w:rsidR="00A24006" w:rsidRDefault="00A24006" w:rsidP="00DB743A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3A4D93F4" w:rsidR="00D06281" w:rsidRPr="00EF6597" w:rsidRDefault="00DB743A" w:rsidP="00E0475C">
      <w:pPr>
        <w:rPr>
          <w:b/>
          <w:u w:val="single"/>
        </w:rPr>
      </w:pPr>
      <w:r>
        <w:rPr>
          <w:b/>
          <w:u w:val="single"/>
        </w:rPr>
        <w:t>CONTRE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lastRenderedPageBreak/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637EE725" w14:textId="77777777" w:rsidR="005F3808" w:rsidRPr="000C5F9A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1676596D" w14:textId="77777777" w:rsidR="005F3808" w:rsidRPr="000C5F9A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5516783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 :</w:t>
      </w:r>
    </w:p>
    <w:p w14:paraId="2EFD0048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B008F04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1F7B6386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BA5C1B4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>- Un avocat</w:t>
      </w:r>
    </w:p>
    <w:p w14:paraId="0104EECF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conjoint ;</w:t>
      </w:r>
    </w:p>
    <w:p w14:paraId="354A3B90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concubin ;</w:t>
      </w:r>
    </w:p>
    <w:p w14:paraId="7BDBDE46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La personne avec laquelle </w:t>
      </w:r>
      <w:r>
        <w:t>elles ont</w:t>
      </w:r>
      <w:r w:rsidRPr="00CD4CD1">
        <w:t xml:space="preserve"> conclu un pacte civil de solidarité ;</w:t>
      </w:r>
    </w:p>
    <w:p w14:paraId="3CEB1C67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directe ;</w:t>
      </w:r>
    </w:p>
    <w:p w14:paraId="22AD6C1E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collatérale jusqu’au troisième degré inclus ;</w:t>
      </w:r>
    </w:p>
    <w:p w14:paraId="7219866C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Une personne exclusivement attachée à </w:t>
      </w:r>
      <w:r>
        <w:t>leur</w:t>
      </w:r>
      <w:r w:rsidRPr="00CD4CD1">
        <w:t xml:space="preserve"> service personnel ou à </w:t>
      </w:r>
      <w:r>
        <w:t>leur</w:t>
      </w:r>
      <w:r w:rsidRPr="00CD4CD1">
        <w:t xml:space="preserve"> entreprise.</w:t>
      </w:r>
    </w:p>
    <w:p w14:paraId="5846E108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3233DD3A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0ABAD470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3C748269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CBBD90C" w14:textId="77777777" w:rsidR="005F3808" w:rsidRPr="00CD4CD1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D829892" w14:textId="77777777" w:rsidR="005F3808" w:rsidRDefault="005F3808" w:rsidP="005F3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03C3D4CB" w14:textId="0AC71703" w:rsidR="00F34E15" w:rsidRDefault="00F34E15" w:rsidP="003560F5"/>
    <w:p w14:paraId="12CA8876" w14:textId="7EE1DD72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347C9EB6" w14:textId="771BA8C9" w:rsidR="00140406" w:rsidRPr="00140406" w:rsidRDefault="00DC21D6" w:rsidP="009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lastRenderedPageBreak/>
        <w:t>OBJET DE LA DEMANDE</w:t>
      </w:r>
    </w:p>
    <w:p w14:paraId="1648E753" w14:textId="3F7183F0" w:rsidR="003B33F9" w:rsidRDefault="003B33F9" w:rsidP="00325E99">
      <w:pPr>
        <w:jc w:val="both"/>
      </w:pPr>
    </w:p>
    <w:p w14:paraId="00DF55F9" w14:textId="6285249B" w:rsidR="00DC21D6" w:rsidRPr="00DC21D6" w:rsidRDefault="00DC21D6" w:rsidP="00DC21D6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DC21D6">
        <w:rPr>
          <w:b/>
          <w:bCs/>
          <w:u w:val="single"/>
        </w:rPr>
        <w:t>Rappel des faits</w:t>
      </w:r>
    </w:p>
    <w:p w14:paraId="64F9B5B8" w14:textId="77777777" w:rsidR="00DC21D6" w:rsidRDefault="00DC21D6" w:rsidP="00325E99">
      <w:pPr>
        <w:jc w:val="both"/>
      </w:pPr>
    </w:p>
    <w:p w14:paraId="141B10E0" w14:textId="36FC4CE7" w:rsidR="00BD3368" w:rsidRDefault="00BD3368" w:rsidP="001D3B27">
      <w:pPr>
        <w:pStyle w:val="Paragraphedeliste"/>
        <w:numPr>
          <w:ilvl w:val="0"/>
          <w:numId w:val="21"/>
        </w:numPr>
      </w:pPr>
      <w:r>
        <w:t>Exposer les faits de façon synthétique et objective, tel qu’ils pourraient être énoncés dans l</w:t>
      </w:r>
      <w:r w:rsidR="00140406">
        <w:t>a décision</w:t>
      </w:r>
      <w:r>
        <w:t xml:space="preserve"> à intervenir</w:t>
      </w:r>
    </w:p>
    <w:p w14:paraId="2160652A" w14:textId="0A15CC0F" w:rsidR="001D3B27" w:rsidRDefault="001D3B27" w:rsidP="00481204"/>
    <w:p w14:paraId="60D5AE27" w14:textId="26875FED" w:rsidR="001D3B27" w:rsidRDefault="001D3B27" w:rsidP="001D3B27">
      <w:pPr>
        <w:pStyle w:val="Paragraphedeliste"/>
        <w:numPr>
          <w:ilvl w:val="0"/>
          <w:numId w:val="21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34A0B5F4" w14:textId="77777777" w:rsidR="00481204" w:rsidRPr="000C5F9A" w:rsidRDefault="00481204" w:rsidP="00481204"/>
    <w:p w14:paraId="0F7531B5" w14:textId="753C6C45" w:rsidR="00481204" w:rsidRPr="00DC21D6" w:rsidRDefault="00481204" w:rsidP="00DC21D6">
      <w:pPr>
        <w:pStyle w:val="Paragraphedeliste"/>
        <w:numPr>
          <w:ilvl w:val="0"/>
          <w:numId w:val="18"/>
        </w:numPr>
        <w:rPr>
          <w:b/>
          <w:bCs/>
          <w:u w:val="single"/>
        </w:rPr>
      </w:pPr>
      <w:r w:rsidRPr="00DC21D6">
        <w:rPr>
          <w:b/>
          <w:bCs/>
          <w:u w:val="single"/>
        </w:rPr>
        <w:t>Sur l</w:t>
      </w:r>
      <w:r w:rsidR="00DC21D6" w:rsidRPr="00DC21D6">
        <w:rPr>
          <w:b/>
          <w:bCs/>
          <w:u w:val="single"/>
        </w:rPr>
        <w:t>es motifs de la demande</w:t>
      </w:r>
    </w:p>
    <w:p w14:paraId="4689176A" w14:textId="14542A62" w:rsidR="001D3B27" w:rsidRDefault="001D3B27" w:rsidP="00325E99">
      <w:pPr>
        <w:jc w:val="both"/>
      </w:pPr>
    </w:p>
    <w:p w14:paraId="6E568DBD" w14:textId="77777777" w:rsidR="001D3B27" w:rsidRPr="000C5F9A" w:rsidRDefault="001D3B27" w:rsidP="001D3B27">
      <w:r w:rsidRPr="000C5F9A">
        <w:t>Il s’agit ici d’exposer les prétentions formulées auprès de la Juridiction saisie en développant une argumentation juridique articulée autour de moyens en fait et en droit.</w:t>
      </w:r>
    </w:p>
    <w:p w14:paraId="09888F8A" w14:textId="77777777" w:rsidR="001D3B27" w:rsidRPr="000C5F9A" w:rsidRDefault="001D3B27" w:rsidP="001D3B27"/>
    <w:p w14:paraId="56F7489E" w14:textId="77777777" w:rsidR="001D3B27" w:rsidRPr="000C5F9A" w:rsidRDefault="001D3B27" w:rsidP="001D3B27">
      <w:r w:rsidRPr="000C5F9A">
        <w:t>Les prétentions formulées par le demandeur doivent être présentées au moyen d’un plan, lequel vise à faciliter la lecture de l’acte par le juge.</w:t>
      </w:r>
    </w:p>
    <w:p w14:paraId="67A9CB09" w14:textId="77777777" w:rsidR="001D3B27" w:rsidRPr="000C5F9A" w:rsidRDefault="001D3B27" w:rsidP="001D3B27"/>
    <w:p w14:paraId="77DEF8D9" w14:textId="77777777" w:rsidR="001D3B27" w:rsidRPr="000C5F9A" w:rsidRDefault="001D3B27" w:rsidP="001D3B27">
      <w:r w:rsidRPr="000C5F9A">
        <w:t>Deux situations peuvent être distinguées :</w:t>
      </w:r>
    </w:p>
    <w:p w14:paraId="3FFDA234" w14:textId="77777777" w:rsidR="001D3B27" w:rsidRPr="000C5F9A" w:rsidRDefault="001D3B27" w:rsidP="001D3B27"/>
    <w:p w14:paraId="00448B06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cumulatives, car d’égale importance</w:t>
      </w:r>
    </w:p>
    <w:p w14:paraId="60960865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alternatives, car d’inégale importance</w:t>
      </w:r>
    </w:p>
    <w:p w14:paraId="76CCF2C4" w14:textId="77777777" w:rsidR="001D3B27" w:rsidRPr="000C5F9A" w:rsidRDefault="001D3B27" w:rsidP="001D3B27"/>
    <w:p w14:paraId="2F8A3CE5" w14:textId="77777777" w:rsidR="001D3B27" w:rsidRPr="000C5F9A" w:rsidRDefault="001D3B27" w:rsidP="001D3B27">
      <w:pPr>
        <w:rPr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cumulatives</w:t>
      </w:r>
    </w:p>
    <w:p w14:paraId="654EE20C" w14:textId="77777777" w:rsidR="001D3B27" w:rsidRPr="000C5F9A" w:rsidRDefault="001D3B27" w:rsidP="001D3B27"/>
    <w:p w14:paraId="1E42E3CB" w14:textId="77777777" w:rsidR="001D3B27" w:rsidRPr="000C5F9A" w:rsidRDefault="001D3B27" w:rsidP="001D3B27">
      <w:r w:rsidRPr="000C5F9A">
        <w:t>Dans cette hypothèse, il conviendra de présenter les prétentions selon une logique chronologique, en les ordonnant, par exemple, de la plus pertinente à celle qui a le moins de chance d’être retenue par le Juge, en terminant par celles relatives à l’exécution provisoire (si justifiée), aux frais irrépétibles et aux dépens</w:t>
      </w:r>
    </w:p>
    <w:p w14:paraId="072998C6" w14:textId="77777777" w:rsidR="001D3B27" w:rsidRPr="000C5F9A" w:rsidRDefault="001D3B27" w:rsidP="001D3B27"/>
    <w:p w14:paraId="61D695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A</w:t>
      </w:r>
    </w:p>
    <w:p w14:paraId="0044A4EA" w14:textId="77777777" w:rsidR="001D3B27" w:rsidRPr="000C5F9A" w:rsidRDefault="001D3B27" w:rsidP="001D3B27">
      <w:pPr>
        <w:rPr>
          <w:i/>
        </w:rPr>
      </w:pPr>
    </w:p>
    <w:p w14:paraId="6477599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B</w:t>
      </w:r>
    </w:p>
    <w:p w14:paraId="51B57CC8" w14:textId="77777777" w:rsidR="001D3B27" w:rsidRPr="000C5F9A" w:rsidRDefault="001D3B27" w:rsidP="001D3B27">
      <w:pPr>
        <w:rPr>
          <w:i/>
        </w:rPr>
      </w:pPr>
    </w:p>
    <w:p w14:paraId="3A80D4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C</w:t>
      </w:r>
    </w:p>
    <w:p w14:paraId="7B77703B" w14:textId="77777777" w:rsidR="001D3B27" w:rsidRPr="000C5F9A" w:rsidRDefault="001D3B27" w:rsidP="001D3B27">
      <w:pPr>
        <w:rPr>
          <w:rFonts w:eastAsia="Calibri"/>
          <w:i/>
        </w:rPr>
      </w:pPr>
    </w:p>
    <w:p w14:paraId="3019797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5C56027A" w14:textId="77777777" w:rsidR="001D3B27" w:rsidRPr="000C5F9A" w:rsidRDefault="001D3B27" w:rsidP="001D3B27">
      <w:pPr>
        <w:rPr>
          <w:i/>
        </w:rPr>
      </w:pPr>
    </w:p>
    <w:p w14:paraId="6AA9F542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l’exécution provisoire</w:t>
      </w:r>
    </w:p>
    <w:p w14:paraId="1532D73F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les frais irrépétibles et les dépens</w:t>
      </w:r>
    </w:p>
    <w:p w14:paraId="5A783F70" w14:textId="77777777" w:rsidR="001D3B27" w:rsidRPr="000C5F9A" w:rsidRDefault="001D3B27" w:rsidP="001D3B27"/>
    <w:p w14:paraId="52268454" w14:textId="77777777" w:rsidR="001D3B27" w:rsidRPr="000C5F9A" w:rsidRDefault="001D3B27" w:rsidP="001D3B27"/>
    <w:p w14:paraId="2AAF5FC9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alternatives</w:t>
      </w:r>
    </w:p>
    <w:p w14:paraId="24FA709F" w14:textId="77777777" w:rsidR="001D3B27" w:rsidRPr="000C5F9A" w:rsidRDefault="001D3B27" w:rsidP="001D3B27"/>
    <w:p w14:paraId="36BF4BFE" w14:textId="77777777" w:rsidR="001D3B27" w:rsidRPr="000C5F9A" w:rsidRDefault="001D3B27" w:rsidP="001D3B27">
      <w:r w:rsidRPr="000C5F9A">
        <w:t>Dans cette hypothèse, il conviendra de présenter les prétentions selon une logique hiérarchique :</w:t>
      </w:r>
    </w:p>
    <w:p w14:paraId="63D32D02" w14:textId="77777777" w:rsidR="001D3B27" w:rsidRPr="000C5F9A" w:rsidRDefault="001D3B27" w:rsidP="001D3B27"/>
    <w:p w14:paraId="3772887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principal, sur la demande A</w:t>
      </w:r>
    </w:p>
    <w:p w14:paraId="3FEABFF5" w14:textId="77777777" w:rsidR="001D3B27" w:rsidRPr="000C5F9A" w:rsidRDefault="001D3B27" w:rsidP="001D3B27">
      <w:pPr>
        <w:rPr>
          <w:i/>
        </w:rPr>
      </w:pPr>
    </w:p>
    <w:p w14:paraId="2BD2FBB6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lastRenderedPageBreak/>
        <w:t>À titre subsidiaire, sur la demande B</w:t>
      </w:r>
    </w:p>
    <w:p w14:paraId="580F498F" w14:textId="77777777" w:rsidR="001D3B27" w:rsidRPr="000C5F9A" w:rsidRDefault="001D3B27" w:rsidP="001D3B27">
      <w:pPr>
        <w:rPr>
          <w:i/>
        </w:rPr>
      </w:pPr>
    </w:p>
    <w:p w14:paraId="5D85E7F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infiniment subsidiaire, sur la demande C</w:t>
      </w:r>
    </w:p>
    <w:p w14:paraId="7521A41B" w14:textId="77777777" w:rsidR="001D3B27" w:rsidRPr="000C5F9A" w:rsidRDefault="001D3B27" w:rsidP="001D3B27">
      <w:pPr>
        <w:rPr>
          <w:i/>
        </w:rPr>
      </w:pPr>
    </w:p>
    <w:p w14:paraId="26A19FC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217BC527" w14:textId="77777777" w:rsidR="001D3B27" w:rsidRPr="000C5F9A" w:rsidRDefault="001D3B27" w:rsidP="001D3B27">
      <w:pPr>
        <w:rPr>
          <w:i/>
        </w:rPr>
      </w:pPr>
    </w:p>
    <w:p w14:paraId="2447288F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En tout état de cause</w:t>
      </w:r>
    </w:p>
    <w:p w14:paraId="58EBC30D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la demande D</w:t>
      </w:r>
    </w:p>
    <w:p w14:paraId="67A6A00A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les frais irrépétibles et les dépends</w:t>
      </w:r>
    </w:p>
    <w:p w14:paraId="3C98E178" w14:textId="77777777" w:rsidR="00DD551B" w:rsidRDefault="00DD551B" w:rsidP="001D3B27"/>
    <w:p w14:paraId="0EBB0DBA" w14:textId="77777777" w:rsidR="00D2740F" w:rsidRDefault="00D2740F" w:rsidP="00D2740F">
      <w:pPr>
        <w:jc w:val="both"/>
      </w:pPr>
      <w:r>
        <w:sym w:font="Wingdings" w:char="F0E8"/>
      </w:r>
      <w:r w:rsidRPr="00057233">
        <w:rPr>
          <w:b/>
          <w:bCs/>
          <w:u w:val="single"/>
        </w:rPr>
        <w:t>Sur la procédure avec ou sens audience</w:t>
      </w:r>
    </w:p>
    <w:p w14:paraId="390A4A06" w14:textId="77777777" w:rsidR="00D2740F" w:rsidRDefault="00D2740F" w:rsidP="00D2740F">
      <w:pPr>
        <w:jc w:val="both"/>
      </w:pPr>
    </w:p>
    <w:p w14:paraId="5AC69D86" w14:textId="77777777" w:rsidR="00D2740F" w:rsidRPr="000C5F9A" w:rsidRDefault="00D2740F" w:rsidP="00D2740F">
      <w:pPr>
        <w:jc w:val="both"/>
      </w:pPr>
      <w:r>
        <w:t>Enfin, la parties exposante</w:t>
      </w:r>
      <w:r w:rsidRPr="000C5F9A">
        <w:t xml:space="preserve"> </w:t>
      </w:r>
      <w:r w:rsidRPr="000C5F9A">
        <w:rPr>
          <w:i/>
        </w:rPr>
        <w:t>[consent</w:t>
      </w:r>
      <w:r>
        <w:rPr>
          <w:i/>
        </w:rPr>
        <w:t xml:space="preserve">ent </w:t>
      </w:r>
      <w:r w:rsidRPr="000C5F9A">
        <w:rPr>
          <w:i/>
        </w:rPr>
        <w:t>/ ne consent</w:t>
      </w:r>
      <w:r>
        <w:rPr>
          <w:i/>
        </w:rPr>
        <w:t>ent</w:t>
      </w:r>
      <w:r w:rsidRPr="000C5F9A">
        <w:rPr>
          <w:i/>
        </w:rPr>
        <w:t xml:space="preserve"> pas]</w:t>
      </w:r>
      <w:r w:rsidRPr="000C5F9A">
        <w:t xml:space="preserve"> à ce que la procédure se déroule sans audience en application de l’article L. 212-5-1 du Code de l’organisation judiciaire. </w:t>
      </w:r>
    </w:p>
    <w:p w14:paraId="3B92EDD6" w14:textId="77777777" w:rsidR="00D2740F" w:rsidRPr="000C5F9A" w:rsidRDefault="00D2740F" w:rsidP="001D3B27"/>
    <w:p w14:paraId="57EED813" w14:textId="77777777" w:rsidR="001D3B27" w:rsidRPr="000C5F9A" w:rsidRDefault="001D3B27" w:rsidP="001D3B27">
      <w:pPr>
        <w:rPr>
          <w:rFonts w:eastAsia="Calibri"/>
          <w:b/>
        </w:rPr>
      </w:pPr>
      <w:r w:rsidRPr="000C5F9A">
        <w:rPr>
          <w:rFonts w:eastAsia="Calibri"/>
          <w:b/>
        </w:rPr>
        <w:sym w:font="Wingdings" w:char="F0E8"/>
      </w:r>
      <w:r w:rsidRPr="000C5F9A">
        <w:rPr>
          <w:rFonts w:eastAsia="Calibri"/>
          <w:b/>
          <w:u w:val="single"/>
        </w:rPr>
        <w:t>Sur les frais irrépétibles et les dépens</w:t>
      </w:r>
    </w:p>
    <w:p w14:paraId="00E43409" w14:textId="77777777" w:rsidR="001D3B27" w:rsidRPr="000C5F9A" w:rsidRDefault="001D3B27" w:rsidP="001D3B27"/>
    <w:p w14:paraId="4DACFCA9" w14:textId="77777777" w:rsidR="001D3B27" w:rsidRPr="000C5F9A" w:rsidRDefault="001D3B27" w:rsidP="001D3B27">
      <w:r w:rsidRPr="000C5F9A">
        <w:t xml:space="preserve">Compte tenu de ce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intérêts, il est parfaitement fondé à solliciter la condamnation de </w:t>
      </w:r>
      <w:r w:rsidRPr="000C5F9A">
        <w:rPr>
          <w:i/>
        </w:rPr>
        <w:t>[nom du défendeur]</w:t>
      </w:r>
      <w:r w:rsidRPr="000C5F9A">
        <w:t xml:space="preserve"> le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civile, outre les entiers dépens. </w:t>
      </w:r>
    </w:p>
    <w:p w14:paraId="0065AC80" w14:textId="77777777" w:rsidR="001D3B27" w:rsidRPr="000C5F9A" w:rsidRDefault="001D3B27" w:rsidP="001D3B27"/>
    <w:p w14:paraId="579765EB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Sur l’exécution provisoire</w:t>
      </w:r>
    </w:p>
    <w:p w14:paraId="662DC3C8" w14:textId="77777777" w:rsidR="001D3B27" w:rsidRPr="000C5F9A" w:rsidRDefault="001D3B27" w:rsidP="001D3B27"/>
    <w:p w14:paraId="04BCCEF7" w14:textId="77777777" w:rsidR="001D3B27" w:rsidRPr="000C5F9A" w:rsidRDefault="001D3B27" w:rsidP="001D3B27">
      <w:r w:rsidRPr="000C5F9A">
        <w:t xml:space="preserve">Il n’y a pas lieu de solliciter le bénéfice de l’exécution provisoire qui, en application de </w:t>
      </w:r>
      <w:r w:rsidRPr="000C5F9A">
        <w:rPr>
          <w:u w:val="single"/>
        </w:rPr>
        <w:t>l’article 514</w:t>
      </w:r>
      <w:r w:rsidRPr="000C5F9A">
        <w:t xml:space="preserve"> du CPC, est désormais de droit pour les décisions de première instance.</w:t>
      </w:r>
    </w:p>
    <w:p w14:paraId="464E7B05" w14:textId="40384819" w:rsidR="00607E01" w:rsidRDefault="00607E01" w:rsidP="00325E99">
      <w:pPr>
        <w:jc w:val="both"/>
      </w:pP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3A8CEE7C" w:rsidR="00F84916" w:rsidRDefault="00F84916" w:rsidP="00325E99">
      <w:pPr>
        <w:jc w:val="both"/>
      </w:pPr>
    </w:p>
    <w:p w14:paraId="4BA5F153" w14:textId="08927CD5" w:rsidR="00816D00" w:rsidRPr="00816D00" w:rsidRDefault="00816D00" w:rsidP="00816D00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816D00">
        <w:rPr>
          <w:b/>
          <w:bCs/>
          <w:u w:val="single"/>
        </w:rPr>
        <w:t>Sur la demande conciliation</w:t>
      </w:r>
    </w:p>
    <w:p w14:paraId="76CBA874" w14:textId="248EEB65" w:rsidR="00816D00" w:rsidRDefault="00816D00" w:rsidP="00816D00">
      <w:pPr>
        <w:jc w:val="both"/>
      </w:pPr>
    </w:p>
    <w:p w14:paraId="54D59F09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  <w:u w:val="single"/>
        </w:rPr>
        <w:t>L’article 8</w:t>
      </w:r>
      <w:r>
        <w:rPr>
          <w:bCs/>
          <w:u w:val="single"/>
        </w:rPr>
        <w:t>27</w:t>
      </w:r>
      <w:r>
        <w:rPr>
          <w:bCs/>
        </w:rPr>
        <w:t xml:space="preserve"> du CPC dispose que dans le cadre de l’instance le juge doit s’efforcer « </w:t>
      </w:r>
      <w:r w:rsidRPr="001718C2">
        <w:rPr>
          <w:bCs/>
          <w:i/>
          <w:iCs/>
        </w:rPr>
        <w:t>de concilier les parties</w:t>
      </w:r>
      <w:r w:rsidRPr="001718C2">
        <w:rPr>
          <w:bCs/>
        </w:rPr>
        <w:t>.</w:t>
      </w:r>
      <w:r>
        <w:rPr>
          <w:bCs/>
        </w:rPr>
        <w:t> »</w:t>
      </w:r>
    </w:p>
    <w:p w14:paraId="22430A44" w14:textId="77777777" w:rsidR="00816D00" w:rsidRDefault="00816D00" w:rsidP="00816D00">
      <w:pPr>
        <w:jc w:val="both"/>
        <w:rPr>
          <w:bCs/>
        </w:rPr>
      </w:pPr>
    </w:p>
    <w:p w14:paraId="00ED9F0F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Il ressort de cette disposition que le Juge a l’obligation de chercher à concilier les parties avant d’engager la phase de jugement. </w:t>
      </w:r>
    </w:p>
    <w:p w14:paraId="36FBB973" w14:textId="77777777" w:rsidR="00816D00" w:rsidRDefault="00816D00" w:rsidP="00816D00">
      <w:pPr>
        <w:jc w:val="both"/>
        <w:rPr>
          <w:bCs/>
        </w:rPr>
      </w:pPr>
    </w:p>
    <w:p w14:paraId="720630B1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Reste que </w:t>
      </w:r>
      <w:r w:rsidRPr="001718C2">
        <w:rPr>
          <w:bCs/>
        </w:rPr>
        <w:t>la</w:t>
      </w:r>
      <w:r>
        <w:rPr>
          <w:bCs/>
        </w:rPr>
        <w:t xml:space="preserve"> </w:t>
      </w:r>
      <w:r w:rsidRPr="001718C2">
        <w:rPr>
          <w:bCs/>
        </w:rPr>
        <w:t xml:space="preserve">conciliation est une démarche volontaire qui ne peut aboutir que lorsque les parties en sont d’accord. </w:t>
      </w:r>
      <w:r>
        <w:rPr>
          <w:bCs/>
        </w:rPr>
        <w:t>Il en résulte qu’a</w:t>
      </w:r>
      <w:r w:rsidRPr="001718C2">
        <w:rPr>
          <w:bCs/>
        </w:rPr>
        <w:t>ucune</w:t>
      </w:r>
      <w:r>
        <w:rPr>
          <w:bCs/>
        </w:rPr>
        <w:t xml:space="preserve"> </w:t>
      </w:r>
      <w:r w:rsidRPr="001718C2">
        <w:rPr>
          <w:bCs/>
        </w:rPr>
        <w:t xml:space="preserve">sanction ne </w:t>
      </w:r>
      <w:r>
        <w:rPr>
          <w:bCs/>
        </w:rPr>
        <w:t xml:space="preserve">peut </w:t>
      </w:r>
      <w:r w:rsidRPr="001718C2">
        <w:rPr>
          <w:bCs/>
        </w:rPr>
        <w:t xml:space="preserve">être </w:t>
      </w:r>
      <w:r>
        <w:rPr>
          <w:bCs/>
        </w:rPr>
        <w:t>prononcée au motif d’</w:t>
      </w:r>
      <w:r w:rsidRPr="001718C2">
        <w:rPr>
          <w:bCs/>
        </w:rPr>
        <w:t xml:space="preserve">un refus. </w:t>
      </w:r>
    </w:p>
    <w:p w14:paraId="7286D947" w14:textId="77777777" w:rsidR="00816D00" w:rsidRDefault="00816D00" w:rsidP="00816D00">
      <w:pPr>
        <w:jc w:val="both"/>
        <w:rPr>
          <w:bCs/>
        </w:rPr>
      </w:pPr>
    </w:p>
    <w:p w14:paraId="3A4A770C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Toutefois </w:t>
      </w:r>
      <w:r w:rsidRPr="003F30EE">
        <w:rPr>
          <w:bCs/>
          <w:u w:val="single"/>
        </w:rPr>
        <w:t>l’a</w:t>
      </w:r>
      <w:r>
        <w:rPr>
          <w:bCs/>
          <w:u w:val="single"/>
        </w:rPr>
        <w:t>linéa 2 de l’article 827</w:t>
      </w:r>
      <w:r>
        <w:rPr>
          <w:bCs/>
        </w:rPr>
        <w:t xml:space="preserve"> du CPC précise que « </w:t>
      </w:r>
      <w:r w:rsidRPr="003F30EE">
        <w:rPr>
          <w:bCs/>
          <w:i/>
          <w:iCs/>
        </w:rPr>
        <w:t>le juge peut également, à tout moment de la procédure, inviter les parties à rencontrer un conciliateur de justice aux lieu, jour et heure qu'il détermine</w:t>
      </w:r>
      <w:r>
        <w:rPr>
          <w:bCs/>
        </w:rPr>
        <w:t> ».</w:t>
      </w:r>
    </w:p>
    <w:p w14:paraId="55C5E3BF" w14:textId="77777777" w:rsidR="00816D00" w:rsidRDefault="00816D00" w:rsidP="00816D00">
      <w:pPr>
        <w:jc w:val="both"/>
        <w:rPr>
          <w:bCs/>
        </w:rPr>
      </w:pPr>
    </w:p>
    <w:p w14:paraId="23BEEECE" w14:textId="77777777" w:rsidR="00816D00" w:rsidRPr="001718C2" w:rsidRDefault="00816D00" w:rsidP="00816D00">
      <w:pPr>
        <w:jc w:val="both"/>
        <w:rPr>
          <w:bCs/>
        </w:rPr>
      </w:pPr>
      <w:r>
        <w:rPr>
          <w:bCs/>
        </w:rPr>
        <w:t>L</w:t>
      </w:r>
      <w:r w:rsidRPr="001718C2">
        <w:rPr>
          <w:bCs/>
        </w:rPr>
        <w:t xml:space="preserve">e juge peut </w:t>
      </w:r>
      <w:r>
        <w:rPr>
          <w:bCs/>
        </w:rPr>
        <w:t xml:space="preserve">donc </w:t>
      </w:r>
      <w:r w:rsidRPr="001718C2">
        <w:rPr>
          <w:bCs/>
        </w:rPr>
        <w:t>enjoindre aux parties de rencontrer un conciliateur pour les informer sur l’objet et le déroulement</w:t>
      </w:r>
      <w:r>
        <w:rPr>
          <w:bCs/>
        </w:rPr>
        <w:t xml:space="preserve"> </w:t>
      </w:r>
      <w:r w:rsidRPr="001718C2">
        <w:rPr>
          <w:bCs/>
        </w:rPr>
        <w:t>d’une mesure de conciliation.</w:t>
      </w:r>
    </w:p>
    <w:p w14:paraId="6EDC1532" w14:textId="77777777" w:rsidR="00816D00" w:rsidRDefault="00816D00" w:rsidP="00816D00">
      <w:pPr>
        <w:jc w:val="both"/>
        <w:rPr>
          <w:bCs/>
        </w:rPr>
      </w:pPr>
    </w:p>
    <w:p w14:paraId="0C26207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lastRenderedPageBreak/>
        <w:t>Le texte prévoit que le juge fixe les lieu, jour et heure auxquels les parties rencontreront le conciliateur.</w:t>
      </w:r>
    </w:p>
    <w:p w14:paraId="2DB94908" w14:textId="77777777" w:rsidR="00816D00" w:rsidRDefault="00816D00" w:rsidP="00816D00">
      <w:pPr>
        <w:jc w:val="both"/>
        <w:rPr>
          <w:bCs/>
        </w:rPr>
      </w:pPr>
    </w:p>
    <w:p w14:paraId="383387C8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Auparavant, il était simplement précisé que cette décision était « </w:t>
      </w:r>
      <w:r w:rsidRPr="00426186">
        <w:rPr>
          <w:bCs/>
          <w:i/>
          <w:iCs/>
        </w:rPr>
        <w:t>sans formalité particulière</w:t>
      </w:r>
      <w:r w:rsidRPr="001718C2">
        <w:rPr>
          <w:bCs/>
        </w:rPr>
        <w:t xml:space="preserve"> ». </w:t>
      </w:r>
    </w:p>
    <w:p w14:paraId="2BECCF43" w14:textId="77777777" w:rsidR="00816D00" w:rsidRDefault="00816D00" w:rsidP="00816D00">
      <w:pPr>
        <w:jc w:val="both"/>
        <w:rPr>
          <w:bCs/>
        </w:rPr>
      </w:pPr>
    </w:p>
    <w:p w14:paraId="36D7FB62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Ces précisions</w:t>
      </w:r>
      <w:r>
        <w:rPr>
          <w:bCs/>
        </w:rPr>
        <w:t xml:space="preserve"> </w:t>
      </w:r>
      <w:r w:rsidRPr="001718C2">
        <w:rPr>
          <w:bCs/>
        </w:rPr>
        <w:t>impliquent désormais une certaine organisation avec les conciliateurs du ressort,</w:t>
      </w:r>
      <w:r>
        <w:rPr>
          <w:bCs/>
        </w:rPr>
        <w:t xml:space="preserve"> </w:t>
      </w:r>
      <w:r w:rsidRPr="001718C2">
        <w:rPr>
          <w:bCs/>
        </w:rPr>
        <w:t>soit par la présence à l’audience,</w:t>
      </w:r>
      <w:r>
        <w:rPr>
          <w:bCs/>
        </w:rPr>
        <w:t xml:space="preserve"> </w:t>
      </w:r>
      <w:r w:rsidRPr="001718C2">
        <w:rPr>
          <w:bCs/>
        </w:rPr>
        <w:t>comme c’est déjà le cas dans de nombreuses juridictions, dans une salle attenante à la salle d’audience, d’un</w:t>
      </w:r>
      <w:r>
        <w:rPr>
          <w:bCs/>
        </w:rPr>
        <w:t xml:space="preserve"> </w:t>
      </w:r>
      <w:r w:rsidRPr="001718C2">
        <w:rPr>
          <w:bCs/>
        </w:rPr>
        <w:t>conciliateur de justice, qui tentera des conciliations sur le temps de l’audience, soit par des dates de rendez-vous</w:t>
      </w:r>
      <w:r>
        <w:rPr>
          <w:bCs/>
        </w:rPr>
        <w:t xml:space="preserve"> </w:t>
      </w:r>
      <w:r w:rsidRPr="001718C2">
        <w:rPr>
          <w:bCs/>
        </w:rPr>
        <w:t>fixées à l’avance en lien avec les conciliateurs, dans les mairies, au tribunal ou dans tout autre lieu où les</w:t>
      </w:r>
      <w:r>
        <w:rPr>
          <w:bCs/>
        </w:rPr>
        <w:t xml:space="preserve"> </w:t>
      </w:r>
      <w:r w:rsidRPr="001718C2">
        <w:rPr>
          <w:bCs/>
        </w:rPr>
        <w:t>conciliateurs interviennent.</w:t>
      </w:r>
    </w:p>
    <w:p w14:paraId="16D3A15E" w14:textId="77777777" w:rsidR="00816D00" w:rsidRDefault="00816D00" w:rsidP="00816D00">
      <w:pPr>
        <w:jc w:val="both"/>
        <w:rPr>
          <w:bCs/>
        </w:rPr>
      </w:pPr>
    </w:p>
    <w:p w14:paraId="4FE2408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Deux voies sont alors possibles au juge qui entend déléguer une mission de conciliation :</w:t>
      </w:r>
    </w:p>
    <w:p w14:paraId="35D36446" w14:textId="77777777" w:rsidR="00816D00" w:rsidRDefault="00816D00" w:rsidP="00816D00">
      <w:pPr>
        <w:jc w:val="both"/>
        <w:rPr>
          <w:bCs/>
        </w:rPr>
      </w:pPr>
    </w:p>
    <w:p w14:paraId="09BA9F5C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C</w:t>
      </w:r>
      <w:r w:rsidRPr="003F30EE">
        <w:rPr>
          <w:bCs/>
        </w:rPr>
        <w:t xml:space="preserve">onformément à la pratique de la « </w:t>
      </w:r>
      <w:r w:rsidRPr="00426186">
        <w:rPr>
          <w:bCs/>
          <w:i/>
          <w:iCs/>
        </w:rPr>
        <w:t>double convocation</w:t>
      </w:r>
      <w:r w:rsidRPr="003F30EE">
        <w:rPr>
          <w:bCs/>
        </w:rPr>
        <w:t xml:space="preserve"> », il peut en décider avant même la date de</w:t>
      </w:r>
      <w:r>
        <w:rPr>
          <w:bCs/>
        </w:rPr>
        <w:t xml:space="preserve"> </w:t>
      </w:r>
      <w:r w:rsidRPr="003F30EE">
        <w:rPr>
          <w:bCs/>
        </w:rPr>
        <w:t>l’audience, afin d’optimiser le temps de l’audiencement,</w:t>
      </w:r>
    </w:p>
    <w:p w14:paraId="57803C4D" w14:textId="77777777" w:rsidR="00816D00" w:rsidRPr="003F30EE" w:rsidRDefault="00816D00" w:rsidP="00816D00">
      <w:pPr>
        <w:jc w:val="both"/>
        <w:rPr>
          <w:bCs/>
        </w:rPr>
      </w:pPr>
    </w:p>
    <w:p w14:paraId="6D96326F" w14:textId="77777777" w:rsidR="00816D00" w:rsidRPr="003F30EE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e juge peut en décider à l’audience.</w:t>
      </w:r>
    </w:p>
    <w:p w14:paraId="3619ABB5" w14:textId="77777777" w:rsidR="00816D00" w:rsidRDefault="00816D00" w:rsidP="00816D00">
      <w:pPr>
        <w:jc w:val="both"/>
        <w:rPr>
          <w:bCs/>
        </w:rPr>
      </w:pPr>
    </w:p>
    <w:p w14:paraId="11DD2170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Dans les deux cas, une information doit être donnée aux parties, soit par lettre simple par le</w:t>
      </w:r>
      <w:r>
        <w:rPr>
          <w:bCs/>
        </w:rPr>
        <w:t xml:space="preserve"> </w:t>
      </w:r>
      <w:r w:rsidRPr="001718C2">
        <w:rPr>
          <w:bCs/>
        </w:rPr>
        <w:t>greffe, si le</w:t>
      </w:r>
      <w:r>
        <w:rPr>
          <w:bCs/>
        </w:rPr>
        <w:t xml:space="preserve"> </w:t>
      </w:r>
      <w:r w:rsidRPr="001718C2">
        <w:rPr>
          <w:bCs/>
        </w:rPr>
        <w:t>tribunal est saisi par assignation, soit dans la convocation même, si le tribunal est</w:t>
      </w:r>
      <w:r>
        <w:rPr>
          <w:bCs/>
        </w:rPr>
        <w:t xml:space="preserve"> </w:t>
      </w:r>
      <w:r w:rsidRPr="001718C2">
        <w:rPr>
          <w:bCs/>
        </w:rPr>
        <w:t>saisi par déclaration au greffe,</w:t>
      </w:r>
      <w:r>
        <w:rPr>
          <w:bCs/>
        </w:rPr>
        <w:t xml:space="preserve"> </w:t>
      </w:r>
      <w:r w:rsidRPr="001718C2">
        <w:rPr>
          <w:bCs/>
        </w:rPr>
        <w:t>soit directement à l’audience si le tribunal décide de la délégation à l’audience.</w:t>
      </w:r>
    </w:p>
    <w:p w14:paraId="6B5881A1" w14:textId="77777777" w:rsidR="00816D00" w:rsidRPr="001718C2" w:rsidRDefault="00816D00" w:rsidP="00816D00">
      <w:pPr>
        <w:jc w:val="both"/>
        <w:rPr>
          <w:bCs/>
        </w:rPr>
      </w:pPr>
    </w:p>
    <w:p w14:paraId="3D71E351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Cette information porte sur :</w:t>
      </w:r>
    </w:p>
    <w:p w14:paraId="552A6E92" w14:textId="77777777" w:rsidR="00816D00" w:rsidRDefault="00816D00" w:rsidP="00816D00">
      <w:pPr>
        <w:jc w:val="both"/>
        <w:rPr>
          <w:bCs/>
        </w:rPr>
      </w:pPr>
    </w:p>
    <w:p w14:paraId="57E0B034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décision de délégation elle-même (nom du conciliateur, date et lieu de la conciliation) ;</w:t>
      </w:r>
    </w:p>
    <w:p w14:paraId="61D49A93" w14:textId="77777777" w:rsidR="00816D00" w:rsidRPr="003F30EE" w:rsidRDefault="00816D00" w:rsidP="00816D00">
      <w:pPr>
        <w:jc w:val="both"/>
        <w:rPr>
          <w:bCs/>
        </w:rPr>
      </w:pPr>
    </w:p>
    <w:p w14:paraId="343AD185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date de l’audience à laquelle l’affaire sera examinée afin que le juge constate la conciliation ou tranche le</w:t>
      </w:r>
      <w:r>
        <w:rPr>
          <w:bCs/>
        </w:rPr>
        <w:t xml:space="preserve"> </w:t>
      </w:r>
      <w:r w:rsidRPr="003F30EE">
        <w:rPr>
          <w:bCs/>
        </w:rPr>
        <w:t xml:space="preserve">litige. </w:t>
      </w:r>
    </w:p>
    <w:p w14:paraId="4F84A62B" w14:textId="77777777" w:rsidR="00816D00" w:rsidRDefault="00816D00" w:rsidP="00816D00">
      <w:pPr>
        <w:jc w:val="both"/>
        <w:rPr>
          <w:bCs/>
        </w:rPr>
      </w:pPr>
    </w:p>
    <w:p w14:paraId="2EE7AB12" w14:textId="77777777" w:rsidR="00816D00" w:rsidRPr="001718C2" w:rsidRDefault="00816D00" w:rsidP="00816D00">
      <w:pPr>
        <w:jc w:val="both"/>
        <w:rPr>
          <w:bCs/>
        </w:rPr>
      </w:pPr>
      <w:r w:rsidRPr="003F30EE">
        <w:rPr>
          <w:bCs/>
        </w:rPr>
        <w:t>En cas de saisine par assignation, la date indiquée, si la décision de délégation est prise avant l’audience,</w:t>
      </w:r>
      <w:r>
        <w:rPr>
          <w:bCs/>
        </w:rPr>
        <w:t xml:space="preserve"> </w:t>
      </w:r>
      <w:r w:rsidRPr="001718C2">
        <w:rPr>
          <w:bCs/>
        </w:rPr>
        <w:t>sera la date prévue dans l’assignation.</w:t>
      </w:r>
    </w:p>
    <w:p w14:paraId="089A9727" w14:textId="77777777" w:rsidR="00816D00" w:rsidRDefault="00816D00" w:rsidP="00816D00">
      <w:pPr>
        <w:jc w:val="both"/>
        <w:rPr>
          <w:bCs/>
        </w:rPr>
      </w:pPr>
    </w:p>
    <w:p w14:paraId="2DA55CD4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Cette information permet d’éviter toute confusion et de rassurer les parties sur les suites qui seront données à la</w:t>
      </w:r>
      <w:r>
        <w:rPr>
          <w:bCs/>
        </w:rPr>
        <w:t xml:space="preserve"> </w:t>
      </w:r>
      <w:r w:rsidRPr="001718C2">
        <w:rPr>
          <w:bCs/>
        </w:rPr>
        <w:t xml:space="preserve">tentative de conciliation. </w:t>
      </w:r>
    </w:p>
    <w:p w14:paraId="3BE70A8E" w14:textId="77777777" w:rsidR="00816D00" w:rsidRDefault="00816D00" w:rsidP="00816D00">
      <w:pPr>
        <w:jc w:val="both"/>
        <w:rPr>
          <w:bCs/>
        </w:rPr>
      </w:pPr>
    </w:p>
    <w:p w14:paraId="298CC5C0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Le juge peut également choisir de procéder lui-même à la tentative de conciliation lors de l’audience à laquelle sont convoquées les parties. </w:t>
      </w:r>
    </w:p>
    <w:p w14:paraId="26B7D7AE" w14:textId="77777777" w:rsidR="00816D00" w:rsidRDefault="00816D00" w:rsidP="00816D00">
      <w:pPr>
        <w:jc w:val="both"/>
      </w:pPr>
    </w:p>
    <w:p w14:paraId="6B1683F4" w14:textId="77777777" w:rsidR="00816D00" w:rsidRDefault="00816D00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210C390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articles […]</w:t>
      </w:r>
    </w:p>
    <w:p w14:paraId="6CF46309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la jurisprudence</w:t>
      </w:r>
    </w:p>
    <w:p w14:paraId="7688318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pièces versées au débat</w:t>
      </w:r>
    </w:p>
    <w:p w14:paraId="61E0D930" w14:textId="77777777" w:rsidR="00A9657E" w:rsidRPr="000C5F9A" w:rsidRDefault="00A9657E" w:rsidP="00A9657E"/>
    <w:p w14:paraId="09F8FBDB" w14:textId="6C1EEEEF" w:rsidR="00A9657E" w:rsidRPr="000C5F9A" w:rsidRDefault="00A9657E" w:rsidP="00A9657E">
      <w:r w:rsidRPr="000C5F9A">
        <w:t xml:space="preserve">Il est demandé au </w:t>
      </w:r>
      <w:r w:rsidR="008726F0">
        <w:t xml:space="preserve">Juge des contentieux de la protection près le </w:t>
      </w:r>
      <w:r w:rsidRPr="000C5F9A">
        <w:t xml:space="preserve">Tribunal judiciaire de </w:t>
      </w:r>
      <w:r w:rsidRPr="000C5F9A">
        <w:rPr>
          <w:i/>
        </w:rPr>
        <w:t xml:space="preserve">[ville] </w:t>
      </w:r>
      <w:r w:rsidRPr="000C5F9A">
        <w:t>de</w:t>
      </w:r>
      <w:r w:rsidRPr="000C5F9A">
        <w:rPr>
          <w:i/>
        </w:rPr>
        <w:t> </w:t>
      </w:r>
      <w:r w:rsidRPr="000C5F9A">
        <w:t xml:space="preserve">: </w:t>
      </w:r>
    </w:p>
    <w:p w14:paraId="15A4AC5A" w14:textId="77777777" w:rsidR="003A42B3" w:rsidRPr="000C5F9A" w:rsidRDefault="003A42B3" w:rsidP="00A9657E"/>
    <w:p w14:paraId="25024763" w14:textId="77777777" w:rsidR="00A9657E" w:rsidRPr="000C5F9A" w:rsidRDefault="00A9657E" w:rsidP="00A9657E">
      <w:r w:rsidRPr="000C5F9A">
        <w:t xml:space="preserve">Déclarant la demande de </w:t>
      </w:r>
      <w:r w:rsidRPr="000C5F9A">
        <w:rPr>
          <w:i/>
        </w:rPr>
        <w:t>[Nom du demandeur]</w:t>
      </w:r>
      <w:r w:rsidRPr="000C5F9A">
        <w:t xml:space="preserve"> recevable et bien fondée,</w:t>
      </w:r>
    </w:p>
    <w:p w14:paraId="63795F9A" w14:textId="77777777" w:rsidR="00A9657E" w:rsidRPr="000C5F9A" w:rsidRDefault="00A9657E" w:rsidP="00A9657E"/>
    <w:p w14:paraId="4255917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principal</w:t>
      </w:r>
    </w:p>
    <w:p w14:paraId="67B9E84E" w14:textId="77777777" w:rsidR="00A9657E" w:rsidRPr="000C5F9A" w:rsidRDefault="00A9657E" w:rsidP="00A9657E"/>
    <w:p w14:paraId="6211D80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CONSTATER</w:t>
      </w:r>
      <w:r w:rsidRPr="000C5F9A">
        <w:t xml:space="preserve"> que […]</w:t>
      </w:r>
    </w:p>
    <w:p w14:paraId="61990FEE" w14:textId="77777777" w:rsidR="00A9657E" w:rsidRPr="000C5F9A" w:rsidRDefault="00A9657E" w:rsidP="00A9657E"/>
    <w:p w14:paraId="48050EAD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que […]</w:t>
      </w:r>
    </w:p>
    <w:p w14:paraId="0510EE4C" w14:textId="77777777" w:rsidR="00A9657E" w:rsidRPr="000C5F9A" w:rsidRDefault="00A9657E" w:rsidP="00A9657E">
      <w:pPr>
        <w:rPr>
          <w:b/>
        </w:rPr>
      </w:pPr>
    </w:p>
    <w:p w14:paraId="75929F37" w14:textId="77777777" w:rsidR="00A9657E" w:rsidRPr="000C5F9A" w:rsidRDefault="00A9657E" w:rsidP="00A9657E">
      <w:r w:rsidRPr="000C5F9A">
        <w:t>En conséquence,</w:t>
      </w:r>
    </w:p>
    <w:p w14:paraId="14F2F75F" w14:textId="77777777" w:rsidR="00A9657E" w:rsidRPr="000C5F9A" w:rsidRDefault="00A9657E" w:rsidP="00A9657E"/>
    <w:p w14:paraId="4808AAB0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ORDONNER</w:t>
      </w:r>
      <w:r w:rsidRPr="000C5F9A">
        <w:t xml:space="preserve"> […]</w:t>
      </w:r>
    </w:p>
    <w:p w14:paraId="0F88FE1A" w14:textId="77777777" w:rsidR="00A9657E" w:rsidRPr="000C5F9A" w:rsidRDefault="00A9657E" w:rsidP="00A9657E"/>
    <w:p w14:paraId="1588EEF5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rPr>
          <w:b/>
        </w:rPr>
      </w:pPr>
      <w:r w:rsidRPr="000C5F9A">
        <w:rPr>
          <w:b/>
        </w:rPr>
        <w:t xml:space="preserve">PRONONCER </w:t>
      </w:r>
      <w:r w:rsidRPr="000C5F9A">
        <w:t>[…]</w:t>
      </w:r>
    </w:p>
    <w:p w14:paraId="4143F9BB" w14:textId="77777777" w:rsidR="00A9657E" w:rsidRPr="000C5F9A" w:rsidRDefault="00A9657E" w:rsidP="00A9657E"/>
    <w:p w14:paraId="67D054C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</w:p>
    <w:p w14:paraId="3E51019A" w14:textId="77777777" w:rsidR="00A9657E" w:rsidRPr="000C5F9A" w:rsidRDefault="00A9657E" w:rsidP="00A9657E"/>
    <w:p w14:paraId="44B74A56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subsidiaire</w:t>
      </w:r>
    </w:p>
    <w:p w14:paraId="46AB9378" w14:textId="77777777" w:rsidR="00A9657E" w:rsidRPr="000C5F9A" w:rsidRDefault="00A9657E" w:rsidP="00A9657E"/>
    <w:p w14:paraId="3F452E59" w14:textId="77777777" w:rsidR="00A9657E" w:rsidRPr="000C5F9A" w:rsidRDefault="00A9657E" w:rsidP="00A9657E">
      <w:r w:rsidRPr="000C5F9A">
        <w:t>[…]</w:t>
      </w:r>
    </w:p>
    <w:p w14:paraId="5C0FD84F" w14:textId="77777777" w:rsidR="00A9657E" w:rsidRPr="000C5F9A" w:rsidRDefault="00A9657E" w:rsidP="00A9657E"/>
    <w:p w14:paraId="66EA2F9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infiniment subsidiaire</w:t>
      </w:r>
    </w:p>
    <w:p w14:paraId="41303BA6" w14:textId="77777777" w:rsidR="00A9657E" w:rsidRPr="000C5F9A" w:rsidRDefault="00A9657E" w:rsidP="00A9657E"/>
    <w:p w14:paraId="726D24F2" w14:textId="77777777" w:rsidR="00A9657E" w:rsidRPr="000C5F9A" w:rsidRDefault="00A9657E" w:rsidP="00A9657E">
      <w:r w:rsidRPr="000C5F9A">
        <w:t>[…]</w:t>
      </w:r>
    </w:p>
    <w:p w14:paraId="602F495B" w14:textId="77777777" w:rsidR="00A9657E" w:rsidRPr="000C5F9A" w:rsidRDefault="00A9657E" w:rsidP="00A9657E"/>
    <w:p w14:paraId="111E0233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En tout état de cause</w:t>
      </w:r>
    </w:p>
    <w:p w14:paraId="474725B6" w14:textId="77777777" w:rsidR="00A9657E" w:rsidRPr="000C5F9A" w:rsidRDefault="00A9657E" w:rsidP="00A9657E"/>
    <w:p w14:paraId="0F7E8007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</w:t>
      </w:r>
    </w:p>
    <w:p w14:paraId="030235E8" w14:textId="77777777" w:rsidR="00A9657E" w:rsidRPr="000C5F9A" w:rsidRDefault="00A9657E" w:rsidP="00A9657E"/>
    <w:p w14:paraId="06DAC2F3" w14:textId="77777777" w:rsidR="00A9657E" w:rsidRPr="000C5F9A" w:rsidRDefault="00A9657E" w:rsidP="00A9657E">
      <w:r w:rsidRPr="000C5F9A">
        <w:t>En conséquence,</w:t>
      </w:r>
    </w:p>
    <w:p w14:paraId="1175AA91" w14:textId="77777777" w:rsidR="00A9657E" w:rsidRPr="000C5F9A" w:rsidRDefault="00A9657E" w:rsidP="00A9657E"/>
    <w:p w14:paraId="6A1D2F51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 </w:t>
      </w:r>
    </w:p>
    <w:p w14:paraId="7CAD1F49" w14:textId="77777777" w:rsidR="00A9657E" w:rsidRPr="000C5F9A" w:rsidRDefault="00A9657E" w:rsidP="00A9657E"/>
    <w:p w14:paraId="18962869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aux entiers dépens, dont distraction au profit de Maître </w:t>
      </w:r>
      <w:r w:rsidRPr="000C5F9A">
        <w:rPr>
          <w:i/>
        </w:rPr>
        <w:t>[identité de l’avocat concerné]</w:t>
      </w:r>
      <w:r w:rsidRPr="000C5F9A">
        <w:t>, avocat, en application de l'article 699 du Code de procédure civile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CC"/>
    <w:multiLevelType w:val="hybridMultilevel"/>
    <w:tmpl w:val="BAF26CC4"/>
    <w:lvl w:ilvl="0" w:tplc="B2BA2E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E286B"/>
    <w:multiLevelType w:val="hybridMultilevel"/>
    <w:tmpl w:val="E8382A0E"/>
    <w:lvl w:ilvl="0" w:tplc="70A01E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AEC"/>
    <w:multiLevelType w:val="hybridMultilevel"/>
    <w:tmpl w:val="C26AE900"/>
    <w:lvl w:ilvl="0" w:tplc="2D346A1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248"/>
    <w:multiLevelType w:val="hybridMultilevel"/>
    <w:tmpl w:val="54EEBBC8"/>
    <w:lvl w:ilvl="0" w:tplc="95D0DA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2A14"/>
    <w:multiLevelType w:val="hybridMultilevel"/>
    <w:tmpl w:val="DBA4A1E6"/>
    <w:lvl w:ilvl="0" w:tplc="3DEA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60F1"/>
    <w:multiLevelType w:val="hybridMultilevel"/>
    <w:tmpl w:val="725C8C7C"/>
    <w:lvl w:ilvl="0" w:tplc="C91241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6"/>
  </w:num>
  <w:num w:numId="5">
    <w:abstractNumId w:val="21"/>
  </w:num>
  <w:num w:numId="6">
    <w:abstractNumId w:val="18"/>
  </w:num>
  <w:num w:numId="7">
    <w:abstractNumId w:val="7"/>
  </w:num>
  <w:num w:numId="8">
    <w:abstractNumId w:val="14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15"/>
  </w:num>
  <w:num w:numId="21">
    <w:abstractNumId w:val="2"/>
  </w:num>
  <w:num w:numId="22">
    <w:abstractNumId w:val="8"/>
  </w:num>
  <w:num w:numId="23">
    <w:abstractNumId w:val="1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05053"/>
    <w:rsid w:val="000201E1"/>
    <w:rsid w:val="000223D3"/>
    <w:rsid w:val="00023A9C"/>
    <w:rsid w:val="00030753"/>
    <w:rsid w:val="00033E97"/>
    <w:rsid w:val="00034742"/>
    <w:rsid w:val="00047FE3"/>
    <w:rsid w:val="00051D84"/>
    <w:rsid w:val="00057233"/>
    <w:rsid w:val="0006170A"/>
    <w:rsid w:val="00071B90"/>
    <w:rsid w:val="000B244E"/>
    <w:rsid w:val="000B4DCB"/>
    <w:rsid w:val="000C256D"/>
    <w:rsid w:val="000E08B1"/>
    <w:rsid w:val="000E3E42"/>
    <w:rsid w:val="00132F4B"/>
    <w:rsid w:val="00140406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D3B27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5F2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A42B3"/>
    <w:rsid w:val="003B33F9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110A"/>
    <w:rsid w:val="00465AA0"/>
    <w:rsid w:val="00476785"/>
    <w:rsid w:val="00481204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13B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5F3808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7D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86FEA"/>
    <w:rsid w:val="00791AF0"/>
    <w:rsid w:val="007A3DF0"/>
    <w:rsid w:val="007A4EDD"/>
    <w:rsid w:val="007E280E"/>
    <w:rsid w:val="007E38EF"/>
    <w:rsid w:val="007F14F9"/>
    <w:rsid w:val="007F2FA9"/>
    <w:rsid w:val="007F366A"/>
    <w:rsid w:val="00800DA0"/>
    <w:rsid w:val="00805780"/>
    <w:rsid w:val="00806824"/>
    <w:rsid w:val="008078AC"/>
    <w:rsid w:val="00814B75"/>
    <w:rsid w:val="00816D00"/>
    <w:rsid w:val="00820A04"/>
    <w:rsid w:val="00824A4E"/>
    <w:rsid w:val="008328F7"/>
    <w:rsid w:val="00835914"/>
    <w:rsid w:val="008436CF"/>
    <w:rsid w:val="00864E3E"/>
    <w:rsid w:val="0086588B"/>
    <w:rsid w:val="008726F0"/>
    <w:rsid w:val="0089457C"/>
    <w:rsid w:val="008B674C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320A"/>
    <w:rsid w:val="00984912"/>
    <w:rsid w:val="009B1A19"/>
    <w:rsid w:val="009C32FB"/>
    <w:rsid w:val="009D587A"/>
    <w:rsid w:val="009D719A"/>
    <w:rsid w:val="009D7562"/>
    <w:rsid w:val="009F1343"/>
    <w:rsid w:val="00A00FE5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866EF"/>
    <w:rsid w:val="00A9657E"/>
    <w:rsid w:val="00AA1B57"/>
    <w:rsid w:val="00AA2DEF"/>
    <w:rsid w:val="00AB0047"/>
    <w:rsid w:val="00AB1D03"/>
    <w:rsid w:val="00AB4A3B"/>
    <w:rsid w:val="00AE2D90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9D5"/>
    <w:rsid w:val="00C13F96"/>
    <w:rsid w:val="00C20ED6"/>
    <w:rsid w:val="00C2121E"/>
    <w:rsid w:val="00C24A59"/>
    <w:rsid w:val="00C4758D"/>
    <w:rsid w:val="00C67054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17408"/>
    <w:rsid w:val="00D2740F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B743A"/>
    <w:rsid w:val="00DC20D7"/>
    <w:rsid w:val="00DC21D6"/>
    <w:rsid w:val="00DC5F3C"/>
    <w:rsid w:val="00DD551B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545E"/>
    <w:rsid w:val="00E73761"/>
    <w:rsid w:val="00E7677F"/>
    <w:rsid w:val="00E82956"/>
    <w:rsid w:val="00E82FCB"/>
    <w:rsid w:val="00E924A6"/>
    <w:rsid w:val="00E92C1E"/>
    <w:rsid w:val="00E9719D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Titre3Acte">
    <w:name w:val="Titre 3 Acte"/>
    <w:basedOn w:val="Titre2"/>
    <w:next w:val="Normal"/>
    <w:rsid w:val="003B33F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B3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sansretrait">
    <w:name w:val="Normal sans retrait"/>
    <w:basedOn w:val="Normal"/>
    <w:next w:val="Normal"/>
    <w:rsid w:val="00E92C1E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C108-BC33-4A4E-BEC1-1C03D19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2020-10-10T20:38:00Z</dcterms:created>
  <dcterms:modified xsi:type="dcterms:W3CDTF">2020-10-10T20:42:00Z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