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79E2B" w14:textId="77777777" w:rsidR="00A72077" w:rsidRPr="00A72077" w:rsidRDefault="00A72077" w:rsidP="00A72077">
      <w:pPr>
        <w:jc w:val="both"/>
        <w:rPr>
          <w:bCs/>
          <w:szCs w:val="24"/>
        </w:rPr>
      </w:pPr>
    </w:p>
    <w:p w14:paraId="4318A8EE" w14:textId="77777777"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9D587A">
        <w:rPr>
          <w:b/>
          <w:sz w:val="32"/>
          <w:szCs w:val="32"/>
        </w:rPr>
        <w:t xml:space="preserve">DE </w:t>
      </w:r>
      <w:r w:rsidR="00BD4665" w:rsidRPr="00BD4665">
        <w:rPr>
          <w:b/>
          <w:i/>
          <w:sz w:val="32"/>
          <w:szCs w:val="32"/>
        </w:rPr>
        <w:t>[objet de la requête</w:t>
      </w:r>
      <w:r w:rsidR="009D587A" w:rsidRPr="00BD4665">
        <w:rPr>
          <w:b/>
          <w:i/>
          <w:sz w:val="32"/>
          <w:szCs w:val="32"/>
        </w:rPr>
        <w:t>]</w:t>
      </w:r>
    </w:p>
    <w:p w14:paraId="2415912C" w14:textId="39BCAEB7"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PAR-DEVANT LE PRÉSIDENT PR</w:t>
      </w:r>
      <w:r>
        <w:rPr>
          <w:rFonts w:cs="Times New Roman"/>
          <w:b/>
          <w:sz w:val="32"/>
          <w:szCs w:val="32"/>
        </w:rPr>
        <w:t>È</w:t>
      </w:r>
      <w:r>
        <w:rPr>
          <w:b/>
          <w:sz w:val="32"/>
          <w:szCs w:val="32"/>
        </w:rPr>
        <w:t>S LE</w:t>
      </w:r>
      <w:r w:rsidR="005414B1" w:rsidRPr="004C17BE">
        <w:rPr>
          <w:b/>
          <w:sz w:val="32"/>
          <w:szCs w:val="32"/>
        </w:rPr>
        <w:t xml:space="preserve"> 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77777777"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 xml:space="preserve">Article </w:t>
      </w:r>
      <w:r w:rsidR="004514C4">
        <w:rPr>
          <w:b/>
          <w:i/>
          <w:sz w:val="28"/>
          <w:szCs w:val="28"/>
        </w:rPr>
        <w:t>145</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77777777" w:rsidR="006678BE" w:rsidRDefault="006678BE" w:rsidP="006678BE">
      <w:r w:rsidRPr="00C640F3">
        <w:rPr>
          <w:b/>
          <w:u w:val="single"/>
        </w:rPr>
        <w:t>Ayant pour avocat</w:t>
      </w:r>
      <w:r>
        <w:rPr>
          <w:b/>
          <w:u w:val="single"/>
        </w:rPr>
        <w:t xml:space="preserve"> constitué</w:t>
      </w:r>
      <w:r>
        <w:t xml:space="preserve">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0214E955" w14:textId="77777777" w:rsidR="006678BE" w:rsidRDefault="006678BE" w:rsidP="006678BE"/>
    <w:p w14:paraId="77480445" w14:textId="77777777" w:rsidR="006678BE" w:rsidRDefault="006678BE" w:rsidP="006678BE"/>
    <w:p w14:paraId="20D8B339"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34604855" w14:textId="77777777" w:rsidR="006678BE" w:rsidRDefault="006678BE" w:rsidP="006678BE"/>
    <w:p w14:paraId="6CC3A850" w14:textId="77777777" w:rsidR="006678BE" w:rsidRDefault="006678BE" w:rsidP="006678BE">
      <w:r w:rsidRPr="00C640F3">
        <w:rPr>
          <w:b/>
          <w:u w:val="single"/>
        </w:rPr>
        <w:t>Ayant pour avocat plaidant</w:t>
      </w:r>
      <w:r>
        <w:t> :</w:t>
      </w:r>
    </w:p>
    <w:p w14:paraId="291CF130" w14:textId="77777777" w:rsidR="006678BE" w:rsidRDefault="006678BE" w:rsidP="006678BE"/>
    <w:p w14:paraId="565D761C"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A88E870" w14:textId="77777777" w:rsidR="006678BE" w:rsidRDefault="006678BE" w:rsidP="006678BE"/>
    <w:p w14:paraId="5149E97A" w14:textId="77777777" w:rsidR="0060231A" w:rsidRDefault="0060231A" w:rsidP="006678BE"/>
    <w:p w14:paraId="1B8ED087"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50E29166" w14:textId="604B2F8F" w:rsidR="00EE1873" w:rsidRDefault="00EE1873" w:rsidP="00EE1873"/>
    <w:p w14:paraId="3F6C6594" w14:textId="5DCEC759" w:rsidR="002B0963" w:rsidRPr="002B0963" w:rsidRDefault="002B0963" w:rsidP="00EE1873">
      <w:pPr>
        <w:rPr>
          <w:b/>
          <w:bCs/>
        </w:rPr>
      </w:pPr>
      <w:r w:rsidRPr="002B0963">
        <w:rPr>
          <w:b/>
          <w:bCs/>
          <w:u w:val="single"/>
        </w:rPr>
        <w:t>Ayant pour représentant</w:t>
      </w:r>
      <w:r w:rsidRPr="002B0963">
        <w:rPr>
          <w:b/>
          <w:bCs/>
        </w:rPr>
        <w:t xml:space="preserve"> : </w:t>
      </w:r>
    </w:p>
    <w:p w14:paraId="574087BB" w14:textId="77777777" w:rsidR="002B0963" w:rsidRDefault="002B0963" w:rsidP="00EE1873"/>
    <w:p w14:paraId="1EF0E567"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1A9D50C0" w14:textId="77777777" w:rsidR="002072FF" w:rsidRDefault="002072FF" w:rsidP="002072FF"/>
    <w:p w14:paraId="202F8F4C" w14:textId="1EA06030" w:rsidR="004C17BE" w:rsidRDefault="002072FF" w:rsidP="003560F5">
      <w:r>
        <w:rPr>
          <w:rFonts w:cs="Times New Roman"/>
        </w:rPr>
        <w:lastRenderedPageBreak/>
        <w:t>À</w:t>
      </w:r>
      <w:r>
        <w:t xml:space="preserve"> l’étude de laquelle </w:t>
      </w:r>
      <w:r w:rsidRPr="00D16A3F">
        <w:t>i</w:t>
      </w:r>
      <w:r>
        <w:t>l est fait élection de domicile.</w:t>
      </w:r>
    </w:p>
    <w:p w14:paraId="0996C272" w14:textId="77AE3AF2" w:rsidR="00455954" w:rsidRDefault="00455954" w:rsidP="003560F5"/>
    <w:p w14:paraId="72184435" w14:textId="27FD8D7B" w:rsidR="00455954" w:rsidRDefault="00455954" w:rsidP="003560F5"/>
    <w:p w14:paraId="6D63604C" w14:textId="77777777" w:rsidR="00455954" w:rsidRDefault="00455954" w:rsidP="00455954">
      <w:pPr>
        <w:rPr>
          <w:b/>
          <w:bCs/>
        </w:rPr>
      </w:pPr>
      <w:r>
        <w:rPr>
          <w:b/>
          <w:bCs/>
          <w:u w:val="single"/>
        </w:rPr>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t>[</w:t>
      </w:r>
      <w:r>
        <w:rPr>
          <w:b/>
          <w:i/>
        </w:rPr>
        <w:t>Si personne morale</w:t>
      </w:r>
      <w:r>
        <w:rPr>
          <w:b/>
        </w:rPr>
        <w:t>]</w:t>
      </w:r>
    </w:p>
    <w:p w14:paraId="60255D26" w14:textId="77777777" w:rsidR="00455954" w:rsidRDefault="00455954" w:rsidP="00455954">
      <w:pPr>
        <w:rPr>
          <w:b/>
        </w:rPr>
      </w:pPr>
    </w:p>
    <w:p w14:paraId="14736B20" w14:textId="77777777" w:rsidR="00455954" w:rsidRDefault="00455954" w:rsidP="00455954">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452974A3" w14:textId="77777777" w:rsidR="00455954" w:rsidRDefault="00455954" w:rsidP="003560F5"/>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79EBC31E"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64A95B6B" w14:textId="77777777" w:rsidR="00BD3368" w:rsidRDefault="00BD3368" w:rsidP="00BD3368"/>
    <w:p w14:paraId="50250C16"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384D7744" w14:textId="77777777" w:rsidR="00325E99" w:rsidRDefault="00325E99" w:rsidP="00325E99">
      <w:pPr>
        <w:jc w:val="both"/>
      </w:pPr>
    </w:p>
    <w:p w14:paraId="0EE54C4A" w14:textId="77777777" w:rsidR="00561018" w:rsidRPr="00984099" w:rsidRDefault="00984099" w:rsidP="00984099">
      <w:pPr>
        <w:jc w:val="both"/>
        <w:rPr>
          <w:b/>
          <w:u w:val="single"/>
        </w:rPr>
      </w:pPr>
      <w:r w:rsidRPr="00984099">
        <w:rPr>
          <w:b/>
        </w:rPr>
        <w:sym w:font="Wingdings" w:char="F0E8"/>
      </w:r>
      <w:r w:rsidR="00C72C12" w:rsidRPr="00984099">
        <w:rPr>
          <w:b/>
          <w:u w:val="single"/>
        </w:rPr>
        <w:t>En droit</w:t>
      </w:r>
    </w:p>
    <w:p w14:paraId="0DAC6B88" w14:textId="77777777" w:rsidR="00325E99" w:rsidRDefault="00325E99" w:rsidP="00325E99">
      <w:pPr>
        <w:jc w:val="both"/>
      </w:pPr>
    </w:p>
    <w:p w14:paraId="3A7BF949" w14:textId="77777777" w:rsidR="00CB68DF" w:rsidRDefault="00CB68DF" w:rsidP="00CB68DF">
      <w:pPr>
        <w:jc w:val="both"/>
      </w:pPr>
      <w:r w:rsidRPr="00F64D09">
        <w:rPr>
          <w:u w:val="single"/>
        </w:rPr>
        <w:t>L’article 145</w:t>
      </w:r>
      <w:r>
        <w:t xml:space="preserve"> du Code de procédure civile prévoit que « </w:t>
      </w:r>
      <w:r w:rsidRPr="00F64D09">
        <w:rPr>
          <w:i/>
        </w:rPr>
        <w:t>s'il existe un motif légitime de conserver ou d'établir avant tout procès la preuve de faits dont pourrait dépendre la solution d'un litige, les mesures d'instruction légalement admissibles peuvent être ordonnées à la demande de tout intéressé, sur requête ou en référé.</w:t>
      </w:r>
      <w:r>
        <w:t> »</w:t>
      </w:r>
    </w:p>
    <w:p w14:paraId="411742CE" w14:textId="77777777" w:rsidR="00CB68DF" w:rsidRDefault="00CB68DF" w:rsidP="00CB68DF">
      <w:pPr>
        <w:jc w:val="both"/>
      </w:pPr>
    </w:p>
    <w:p w14:paraId="346AB825" w14:textId="77777777" w:rsidR="00CB68DF" w:rsidRDefault="00CB68DF" w:rsidP="00CB68DF">
      <w:pPr>
        <w:jc w:val="both"/>
      </w:pPr>
      <w:r>
        <w:t>De toute évidence, cette disposition présente la particularité de permette la saisine du juge aux fins d’obtenir une mesure d’instruction avant tout procès, soit par voie de référé, soit par voie de requête.</w:t>
      </w:r>
    </w:p>
    <w:p w14:paraId="7D273F13" w14:textId="77777777" w:rsidR="00CB68DF" w:rsidRDefault="00CB68DF" w:rsidP="00CB68DF">
      <w:pPr>
        <w:jc w:val="both"/>
      </w:pPr>
    </w:p>
    <w:p w14:paraId="65ABC1B9" w14:textId="77777777" w:rsidR="00CB68DF" w:rsidRDefault="00CB68DF" w:rsidP="00CB68DF">
      <w:pPr>
        <w:jc w:val="both"/>
      </w:pPr>
      <w:r>
        <w:t>Est-ce à dire que la partie cherchant à se préconstituer une preuve avant tout procès dispose d’une option procédurale ?</w:t>
      </w:r>
    </w:p>
    <w:p w14:paraId="0933BFEF" w14:textId="77777777" w:rsidR="00CB68DF" w:rsidRDefault="00CB68DF" w:rsidP="00CB68DF">
      <w:pPr>
        <w:jc w:val="both"/>
      </w:pPr>
    </w:p>
    <w:p w14:paraId="2156F29E" w14:textId="77777777" w:rsidR="00CB68DF" w:rsidRDefault="00CB68DF" w:rsidP="00CB68DF">
      <w:pPr>
        <w:jc w:val="both"/>
      </w:pPr>
      <w:r>
        <w:t xml:space="preserve">L’analyse de la combinaison des </w:t>
      </w:r>
      <w:r w:rsidRPr="00E74B89">
        <w:rPr>
          <w:u w:val="single"/>
        </w:rPr>
        <w:t>articles 145</w:t>
      </w:r>
      <w:r>
        <w:t xml:space="preserve"> et </w:t>
      </w:r>
      <w:r w:rsidRPr="00E74B89">
        <w:rPr>
          <w:u w:val="single"/>
        </w:rPr>
        <w:t>8</w:t>
      </w:r>
      <w:r>
        <w:rPr>
          <w:u w:val="single"/>
        </w:rPr>
        <w:t>45</w:t>
      </w:r>
      <w:r w:rsidRPr="00DE7254">
        <w:t xml:space="preserve"> </w:t>
      </w:r>
      <w:r>
        <w:t xml:space="preserve">du Code de procédure civile révèle qu’il n’en n’est rien. </w:t>
      </w:r>
    </w:p>
    <w:p w14:paraId="1FA6531E" w14:textId="77777777" w:rsidR="00CB68DF" w:rsidRDefault="00CB68DF" w:rsidP="00CB68DF">
      <w:pPr>
        <w:jc w:val="both"/>
      </w:pPr>
    </w:p>
    <w:p w14:paraId="4ACF76D2" w14:textId="77777777" w:rsidR="00CB68DF" w:rsidRDefault="00CB68DF" w:rsidP="00CB68DF">
      <w:pPr>
        <w:jc w:val="both"/>
      </w:pPr>
      <w:r>
        <w:t xml:space="preserve">Régulièrement, la Cour de cassation rappelle, en effet, qu’il ne peut être recouru à la procédure sur requête qu’à la condition que des circonstances particulières l’exigent. Autrement dit, la voie du référé doit être insuffisante, à tout le moins inappropriée, pour obtenir le résultat recherché (V. en ce sens </w:t>
      </w:r>
      <w:r w:rsidRPr="00B574E7">
        <w:rPr>
          <w:i/>
          <w:iCs/>
          <w:u w:val="single"/>
        </w:rPr>
        <w:t>Cass. 2</w:t>
      </w:r>
      <w:r w:rsidRPr="00B574E7">
        <w:rPr>
          <w:i/>
          <w:iCs/>
          <w:u w:val="single"/>
          <w:vertAlign w:val="superscript"/>
        </w:rPr>
        <w:t>e</w:t>
      </w:r>
      <w:r w:rsidRPr="00B574E7">
        <w:rPr>
          <w:i/>
          <w:iCs/>
          <w:u w:val="single"/>
        </w:rPr>
        <w:t xml:space="preserve"> civ. 13 mai 1987, n°86-11098</w:t>
      </w:r>
      <w:r>
        <w:t>).</w:t>
      </w:r>
    </w:p>
    <w:p w14:paraId="140E36BA" w14:textId="77777777" w:rsidR="00CB68DF" w:rsidRDefault="00CB68DF" w:rsidP="00CB68DF">
      <w:pPr>
        <w:jc w:val="both"/>
      </w:pPr>
    </w:p>
    <w:p w14:paraId="00562849" w14:textId="77777777" w:rsidR="00CB68DF" w:rsidRDefault="00CB68DF" w:rsidP="00CB68DF">
      <w:pPr>
        <w:jc w:val="both"/>
      </w:pPr>
      <w:r>
        <w:t xml:space="preserve">Cette hiérarchisation des procédures qui place la procédure sur requête sous le signe de la subsidiarité procède de la volonté du législateur de n’admettre une dérogation au principe du contradictoire que dans des situations très exceptionnelles. </w:t>
      </w:r>
    </w:p>
    <w:p w14:paraId="04541A2B" w14:textId="77777777" w:rsidR="00CB68DF" w:rsidRDefault="00CB68DF" w:rsidP="00CB68DF">
      <w:pPr>
        <w:jc w:val="both"/>
      </w:pPr>
    </w:p>
    <w:p w14:paraId="297C8617" w14:textId="77777777" w:rsidR="00CB68DF" w:rsidRDefault="00CB68DF" w:rsidP="00CB68DF">
      <w:pPr>
        <w:jc w:val="both"/>
      </w:pPr>
      <w:r>
        <w:t>D’où l’obligation pour les parties d’envisager, en première intention, la procédure de référé, la procédure sur requête ne pouvant intervenir que dans l’hypothèse où il n’existe pas d’autre alternative.</w:t>
      </w:r>
    </w:p>
    <w:p w14:paraId="2930F77C" w14:textId="77777777" w:rsidR="00CB68DF" w:rsidRDefault="00CB68DF" w:rsidP="00CB68DF">
      <w:pPr>
        <w:jc w:val="both"/>
      </w:pPr>
    </w:p>
    <w:p w14:paraId="56931C83" w14:textId="77777777" w:rsidR="00CB68DF" w:rsidRDefault="00CB68DF" w:rsidP="00CB68DF">
      <w:pPr>
        <w:jc w:val="both"/>
      </w:pPr>
      <w:r>
        <w:t>Dans un arrêt du 29 janvier 2002, la Cour de cassation avait ainsi reproché à une Cour d’appel de n’avoir pas recherché « </w:t>
      </w:r>
      <w:r w:rsidRPr="001804FD">
        <w:rPr>
          <w:i/>
        </w:rPr>
        <w:t>si la mesure sollicitée exigeait une dérogation au principe de la contradiction</w:t>
      </w:r>
      <w:r>
        <w:t> » (</w:t>
      </w:r>
      <w:r w:rsidRPr="001804FD">
        <w:rPr>
          <w:i/>
          <w:u w:val="single"/>
        </w:rPr>
        <w:t>Cass. com., 29 janv. 2002, n° 00-11134</w:t>
      </w:r>
      <w:r>
        <w:t>).</w:t>
      </w:r>
    </w:p>
    <w:p w14:paraId="64B9A238" w14:textId="77777777" w:rsidR="00CB68DF" w:rsidRDefault="00CB68DF" w:rsidP="00CB68DF">
      <w:pPr>
        <w:jc w:val="both"/>
      </w:pPr>
    </w:p>
    <w:p w14:paraId="40913195" w14:textId="4F132135" w:rsidR="00CB68DF" w:rsidRDefault="00CB68DF" w:rsidP="00CB68DF">
      <w:pPr>
        <w:jc w:val="both"/>
      </w:pPr>
      <w:r>
        <w:t>Dans un arrêt du 8 janvier 2015, elle a encore exigé que cette circonstance devait être énoncée expressément dans la requête, faute de quoi la demande serait frappée d’irrecevabilité (</w:t>
      </w:r>
      <w:r w:rsidRPr="00B574E7">
        <w:rPr>
          <w:i/>
          <w:iCs/>
          <w:u w:val="single"/>
        </w:rPr>
        <w:t>Cass. 2</w:t>
      </w:r>
      <w:r w:rsidRPr="00B574E7">
        <w:rPr>
          <w:i/>
          <w:iCs/>
          <w:u w:val="single"/>
          <w:vertAlign w:val="superscript"/>
        </w:rPr>
        <w:t>e</w:t>
      </w:r>
      <w:r w:rsidRPr="00B574E7">
        <w:rPr>
          <w:i/>
          <w:iCs/>
          <w:u w:val="single"/>
        </w:rPr>
        <w:t xml:space="preserve"> civ. 8 janv. 2015, n°13-27.740</w:t>
      </w:r>
      <w:r>
        <w:t>).</w:t>
      </w:r>
    </w:p>
    <w:p w14:paraId="7E9AF928" w14:textId="77777777" w:rsidR="00CB68DF" w:rsidRDefault="00CB68DF" w:rsidP="00CB68DF">
      <w:pPr>
        <w:jc w:val="both"/>
      </w:pPr>
    </w:p>
    <w:p w14:paraId="541C61BB" w14:textId="5F8A9A6C" w:rsidR="00CB68DF" w:rsidRDefault="00CB68DF" w:rsidP="00CB68DF">
      <w:pPr>
        <w:jc w:val="both"/>
      </w:pPr>
      <w:r>
        <w:lastRenderedPageBreak/>
        <w:t>Pratiquement, la nécessité de déroger au principe du contradictoire sera caractérisée dans l’hypothèse où il y a lieu de procurer au requérant un effet de surprise, effet sans lequel l’intérêt de la mesure serait vidé de sa substance.</w:t>
      </w:r>
    </w:p>
    <w:p w14:paraId="500489F6" w14:textId="77777777" w:rsidR="00CB68DF" w:rsidRDefault="00CB68DF" w:rsidP="00CB68DF">
      <w:pPr>
        <w:jc w:val="both"/>
      </w:pPr>
    </w:p>
    <w:p w14:paraId="5FDE1D4C" w14:textId="034A2F48" w:rsidR="00CB68DF" w:rsidRDefault="00CB68DF" w:rsidP="00CB68DF">
      <w:pPr>
        <w:jc w:val="both"/>
      </w:pPr>
      <w:r>
        <w:t>Le risque de disparition de preuves peut également être retenu par le juge comme une circonstance justifiant l’absence de débat contradictoire</w:t>
      </w:r>
    </w:p>
    <w:p w14:paraId="37AFBDF5" w14:textId="6C172277" w:rsidR="00CB68DF" w:rsidRDefault="00CB68DF" w:rsidP="00CB68DF">
      <w:pPr>
        <w:jc w:val="both"/>
      </w:pPr>
    </w:p>
    <w:p w14:paraId="23EA75B7" w14:textId="50EDEF65" w:rsidR="00CB68DF" w:rsidRDefault="00CB68DF" w:rsidP="00CB68DF">
      <w:pPr>
        <w:jc w:val="both"/>
      </w:pPr>
      <w:r>
        <w:t xml:space="preserve">Lorsque </w:t>
      </w:r>
      <w:r w:rsidR="00104889">
        <w:t xml:space="preserve">cette condition préalable </w:t>
      </w:r>
      <w:r w:rsidR="00F03A84">
        <w:t xml:space="preserve">est satisfaite, </w:t>
      </w:r>
      <w:r>
        <w:t xml:space="preserve">le requérant </w:t>
      </w:r>
      <w:r w:rsidR="00F03A84">
        <w:t xml:space="preserve">devra alors </w:t>
      </w:r>
      <w:r>
        <w:t>justifier d’un motif légitime qu’il a de conserver ou d’établir l’existence de faits en prévision d’un éventuel procès : il faut que l’action éventuelle au fond ne soit pas manifestement vouée à l’échec.</w:t>
      </w:r>
    </w:p>
    <w:p w14:paraId="74B2A141" w14:textId="77777777" w:rsidR="00CB68DF" w:rsidRDefault="00CB68DF" w:rsidP="00CB68DF">
      <w:pPr>
        <w:jc w:val="both"/>
      </w:pPr>
    </w:p>
    <w:p w14:paraId="03E1282A" w14:textId="77777777" w:rsidR="00CB68DF" w:rsidRDefault="00CB68DF" w:rsidP="00CB68DF">
      <w:pPr>
        <w:jc w:val="both"/>
      </w:pPr>
      <w:r>
        <w:t>Sous l’empire du droit antérieur, la Cour de cassation exigeait encore que le requérant démontre l’urgence du prononcé de la mesure d’instruction.</w:t>
      </w:r>
    </w:p>
    <w:p w14:paraId="6FCE75F2" w14:textId="77777777" w:rsidR="00CB68DF" w:rsidRDefault="00CB68DF" w:rsidP="00CB68DF">
      <w:pPr>
        <w:jc w:val="both"/>
      </w:pPr>
    </w:p>
    <w:p w14:paraId="5E8FC8F0" w14:textId="77777777" w:rsidR="00CB68DF" w:rsidRDefault="00CB68DF" w:rsidP="00CB68DF">
      <w:pPr>
        <w:jc w:val="both"/>
      </w:pPr>
      <w:r>
        <w:t>Cette exigence a toutefois été abandonnée par la deuxième chambre civile dans un arrêt du 15 janvier 2009. Elle a affirmé en ce sens que « </w:t>
      </w:r>
      <w:r w:rsidRPr="00B574E7">
        <w:rPr>
          <w:i/>
          <w:iCs/>
        </w:rPr>
        <w:t>l'urgence n'est pas une condition requise pour que soient ordonnées sur requête des mesures d'instruction sur le fondement de l'article 145 du code de procédure civile</w:t>
      </w:r>
      <w:r>
        <w:t> » (</w:t>
      </w:r>
      <w:r w:rsidRPr="00B574E7">
        <w:rPr>
          <w:i/>
          <w:iCs/>
          <w:u w:val="single"/>
        </w:rPr>
        <w:t>Cass. 2</w:t>
      </w:r>
      <w:r w:rsidRPr="00B574E7">
        <w:rPr>
          <w:i/>
          <w:iCs/>
          <w:u w:val="single"/>
          <w:vertAlign w:val="superscript"/>
        </w:rPr>
        <w:t>e</w:t>
      </w:r>
      <w:r w:rsidRPr="00B574E7">
        <w:rPr>
          <w:i/>
          <w:iCs/>
          <w:u w:val="single"/>
        </w:rPr>
        <w:t xml:space="preserve"> civ. 15 janv. 2009, n°08-10771</w:t>
      </w:r>
      <w:r>
        <w:t>).</w:t>
      </w:r>
    </w:p>
    <w:p w14:paraId="4D1C7B20" w14:textId="77777777" w:rsidR="00CB68DF" w:rsidRDefault="00CB68DF" w:rsidP="00CB68DF">
      <w:pPr>
        <w:jc w:val="both"/>
      </w:pPr>
    </w:p>
    <w:p w14:paraId="58AC4F98" w14:textId="77777777" w:rsidR="00CB68DF" w:rsidRDefault="00CB68DF" w:rsidP="00CB68DF">
      <w:pPr>
        <w:jc w:val="both"/>
      </w:pPr>
      <w:r>
        <w:t xml:space="preserve">Cette solution se justifie par l’autonomie de la procédure sur requête fondée sur </w:t>
      </w:r>
      <w:r w:rsidRPr="00B574E7">
        <w:rPr>
          <w:u w:val="single"/>
        </w:rPr>
        <w:t>l’article 145</w:t>
      </w:r>
      <w:r>
        <w:t xml:space="preserve"> du CPC, principe qui conduit à écarter l’application des conditions propres au référé.</w:t>
      </w:r>
    </w:p>
    <w:p w14:paraId="6576534E" w14:textId="77777777" w:rsidR="00CB68DF" w:rsidRDefault="00CB68DF" w:rsidP="00CB68DF">
      <w:pPr>
        <w:jc w:val="both"/>
      </w:pPr>
    </w:p>
    <w:p w14:paraId="0766D66B" w14:textId="4AAF32CC" w:rsidR="00CB68DF" w:rsidRDefault="00CB68DF" w:rsidP="00CB68DF">
      <w:pPr>
        <w:jc w:val="both"/>
      </w:pPr>
      <w:r>
        <w:t>C’est la raison pour laquelle, ni la condition d’urgence, ni la condition tenant à l’absence de contestation sérieuse (</w:t>
      </w:r>
      <w:r w:rsidRPr="00871A93">
        <w:rPr>
          <w:i/>
          <w:iCs/>
          <w:u w:val="single"/>
        </w:rPr>
        <w:t>Cass. 2</w:t>
      </w:r>
      <w:r w:rsidRPr="00871A93">
        <w:rPr>
          <w:i/>
          <w:iCs/>
          <w:u w:val="single"/>
          <w:vertAlign w:val="superscript"/>
        </w:rPr>
        <w:t>e</w:t>
      </w:r>
      <w:r w:rsidRPr="00871A93">
        <w:rPr>
          <w:i/>
          <w:iCs/>
          <w:u w:val="single"/>
        </w:rPr>
        <w:t xml:space="preserve"> civ. 7 nov. 1989, n°88-15482</w:t>
      </w:r>
      <w:r>
        <w:t xml:space="preserve">), ne sont requises pour solliciter par voie de requête une mesure d’instruction </w:t>
      </w:r>
      <w:r w:rsidRPr="00871A93">
        <w:rPr>
          <w:i/>
          <w:iCs/>
        </w:rPr>
        <w:t>in futurum</w:t>
      </w:r>
      <w:r>
        <w:t>.</w:t>
      </w:r>
    </w:p>
    <w:p w14:paraId="3E3C92CD" w14:textId="34D8A262" w:rsidR="00CB68DF" w:rsidRDefault="00CB68DF" w:rsidP="00CB68DF">
      <w:pPr>
        <w:jc w:val="both"/>
      </w:pPr>
    </w:p>
    <w:p w14:paraId="000B8F2A" w14:textId="4BC5883F" w:rsidR="00F03A84" w:rsidRDefault="00F03A84" w:rsidP="00CB68DF">
      <w:pPr>
        <w:jc w:val="both"/>
      </w:pPr>
      <w:r>
        <w:t>Au bilan, les deux seules conditions qui doivent être réunies sont :</w:t>
      </w:r>
    </w:p>
    <w:p w14:paraId="2134D638" w14:textId="030AE077" w:rsidR="00F03A84" w:rsidRDefault="00F03A84" w:rsidP="00CB68DF">
      <w:pPr>
        <w:jc w:val="both"/>
      </w:pPr>
    </w:p>
    <w:p w14:paraId="5351D899" w14:textId="73D2ADA7" w:rsidR="00F03A84" w:rsidRDefault="00F03A84" w:rsidP="00F03A84">
      <w:pPr>
        <w:pStyle w:val="Paragraphedeliste"/>
        <w:numPr>
          <w:ilvl w:val="0"/>
          <w:numId w:val="13"/>
        </w:numPr>
        <w:jc w:val="both"/>
      </w:pPr>
      <w:r w:rsidRPr="00F03A84">
        <w:rPr>
          <w:b/>
          <w:bCs/>
          <w:i/>
          <w:iCs/>
        </w:rPr>
        <w:t>D’une part</w:t>
      </w:r>
      <w:r>
        <w:t>, l’existence de circonstances particulières qui justifient de déroger au principe du contradictoire</w:t>
      </w:r>
    </w:p>
    <w:p w14:paraId="745CCE7C" w14:textId="77777777" w:rsidR="00F03A84" w:rsidRDefault="00F03A84" w:rsidP="00F03A84">
      <w:pPr>
        <w:jc w:val="both"/>
      </w:pPr>
    </w:p>
    <w:p w14:paraId="4740C37B" w14:textId="013F59A9" w:rsidR="00F03A84" w:rsidRDefault="00F03A84" w:rsidP="00CB68DF">
      <w:pPr>
        <w:pStyle w:val="Paragraphedeliste"/>
        <w:numPr>
          <w:ilvl w:val="0"/>
          <w:numId w:val="13"/>
        </w:numPr>
        <w:jc w:val="both"/>
      </w:pPr>
      <w:r w:rsidRPr="00F03A84">
        <w:rPr>
          <w:b/>
          <w:bCs/>
          <w:i/>
          <w:iCs/>
        </w:rPr>
        <w:t>D’autre part</w:t>
      </w:r>
      <w:r>
        <w:t xml:space="preserve">, l’existence d’un motif légitime </w:t>
      </w:r>
      <w:r w:rsidRPr="00F03A84">
        <w:t>de conserver ou d'établir avant tout procès la preuve de faits dont pourrait dépendre la solution d'un litige</w:t>
      </w:r>
    </w:p>
    <w:p w14:paraId="2D875C52" w14:textId="6A37DFEE" w:rsidR="00671991" w:rsidRDefault="00671991" w:rsidP="00325E99">
      <w:pPr>
        <w:jc w:val="both"/>
      </w:pPr>
    </w:p>
    <w:p w14:paraId="264D9F65" w14:textId="77777777" w:rsidR="009F2DB7" w:rsidRDefault="009F2DB7" w:rsidP="009F2DB7">
      <w:pPr>
        <w:jc w:val="both"/>
      </w:pPr>
      <w:r>
        <w:t xml:space="preserve">Lorsqu’il est saisi sur le fondement de </w:t>
      </w:r>
      <w:r w:rsidRPr="009F2DB7">
        <w:rPr>
          <w:u w:val="single"/>
        </w:rPr>
        <w:t>l’article 145</w:t>
      </w:r>
      <w:r>
        <w:t xml:space="preserve"> CPC, le Président de la juridiction peut prendre toutes les mesures d’instructions utiles légalement admissibles.</w:t>
      </w:r>
    </w:p>
    <w:p w14:paraId="0AE8B066" w14:textId="77777777" w:rsidR="009F2DB7" w:rsidRDefault="009F2DB7" w:rsidP="009F2DB7">
      <w:pPr>
        <w:jc w:val="both"/>
      </w:pPr>
    </w:p>
    <w:p w14:paraId="1BC3F034" w14:textId="77777777" w:rsidR="009F2DB7" w:rsidRDefault="009F2DB7" w:rsidP="009F2DB7">
      <w:pPr>
        <w:jc w:val="both"/>
      </w:pPr>
      <w:r>
        <w:t>Ce qui importe, c’est que ces mesures répondent à l’un des deux objectifs suivants :</w:t>
      </w:r>
    </w:p>
    <w:p w14:paraId="46E2C8BE" w14:textId="77777777" w:rsidR="009F2DB7" w:rsidRDefault="009F2DB7" w:rsidP="009F2DB7">
      <w:pPr>
        <w:jc w:val="both"/>
      </w:pPr>
    </w:p>
    <w:p w14:paraId="7431C58F" w14:textId="77777777" w:rsidR="009F2DB7" w:rsidRDefault="009F2DB7" w:rsidP="009F2DB7">
      <w:pPr>
        <w:pStyle w:val="Paragraphedeliste"/>
        <w:numPr>
          <w:ilvl w:val="0"/>
          <w:numId w:val="13"/>
        </w:numPr>
        <w:jc w:val="both"/>
      </w:pPr>
      <w:r>
        <w:t>Conserver la preuve d’un fait</w:t>
      </w:r>
    </w:p>
    <w:p w14:paraId="677E7431" w14:textId="60BE00CE" w:rsidR="009F2DB7" w:rsidRDefault="009F2DB7" w:rsidP="009F2DB7">
      <w:pPr>
        <w:pStyle w:val="Paragraphedeliste"/>
        <w:numPr>
          <w:ilvl w:val="0"/>
          <w:numId w:val="13"/>
        </w:numPr>
        <w:jc w:val="both"/>
      </w:pPr>
      <w:r>
        <w:t>Établir la preuve d’un fait</w:t>
      </w:r>
    </w:p>
    <w:p w14:paraId="793C5ACF" w14:textId="77777777" w:rsidR="009F2DB7" w:rsidRDefault="009F2DB7" w:rsidP="009F2DB7">
      <w:pPr>
        <w:jc w:val="both"/>
      </w:pPr>
    </w:p>
    <w:p w14:paraId="7C96A02C" w14:textId="1B749D54" w:rsidR="009F2DB7" w:rsidRDefault="009F2DB7" w:rsidP="009F2DB7">
      <w:pPr>
        <w:jc w:val="both"/>
      </w:pPr>
      <w:r>
        <w:t>Il ressort d’un arrêt rendu par la Cour de cassation en date du 7 janvier 1999 que la mesure sollicitée ne peut pas être d’ordre général (</w:t>
      </w:r>
      <w:r w:rsidRPr="009F2DB7">
        <w:rPr>
          <w:i/>
          <w:iCs/>
          <w:u w:val="single"/>
        </w:rPr>
        <w:t>Cass. 2e civ. 7 janv. 1999, n°97-10831</w:t>
      </w:r>
      <w:r>
        <w:t>). Les mesures prononcées peuvent être extrêmement variées pourvu qu’elles soient précises.</w:t>
      </w:r>
    </w:p>
    <w:p w14:paraId="40ACF52E" w14:textId="77777777" w:rsidR="009F2DB7" w:rsidRDefault="009F2DB7" w:rsidP="00325E99">
      <w:pPr>
        <w:jc w:val="both"/>
      </w:pPr>
    </w:p>
    <w:p w14:paraId="3CED7541" w14:textId="77777777" w:rsidR="00C72C12" w:rsidRPr="00984099" w:rsidRDefault="00984099" w:rsidP="00984099">
      <w:pPr>
        <w:jc w:val="both"/>
        <w:rPr>
          <w:b/>
          <w:u w:val="single"/>
        </w:rPr>
      </w:pPr>
      <w:r>
        <w:sym w:font="Wingdings" w:char="F0E8"/>
      </w:r>
      <w:r w:rsidR="00C72C12" w:rsidRPr="00984099">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77777777" w:rsidR="00132F4B" w:rsidRPr="00132F4B" w:rsidRDefault="00C72C12" w:rsidP="00325E99">
      <w:pPr>
        <w:jc w:val="both"/>
      </w:pPr>
      <w:r>
        <w:sym w:font="Wingdings" w:char="F0E8"/>
      </w:r>
      <w:r w:rsidRPr="00C72C12">
        <w:rPr>
          <w:b/>
          <w:u w:val="single"/>
        </w:rPr>
        <w:t>En conséquence</w:t>
      </w:r>
      <w:r w:rsidR="00DC5F3C">
        <w:t xml:space="preserve">, </w:t>
      </w:r>
      <w:r w:rsidR="00750D3B">
        <w:t>compte tenu des circonstances qui</w:t>
      </w:r>
      <w:r w:rsidR="00750D3B" w:rsidRPr="00750D3B">
        <w:t xml:space="preserve"> exigent </w:t>
      </w:r>
      <w:r w:rsidR="00750D3B">
        <w:t xml:space="preserve">que des mesures urgentes </w:t>
      </w:r>
      <w:r w:rsidR="00750D3B" w:rsidRPr="00750D3B">
        <w:t>ne soien</w:t>
      </w:r>
      <w:r w:rsidR="002A72B3">
        <w:t>t pas prises contradictoirement,</w:t>
      </w:r>
      <w:r w:rsidR="00750D3B">
        <w:t xml:space="preserve"> </w:t>
      </w:r>
      <w:r w:rsidR="00CB0920">
        <w:t>il est demandé au Président du T</w:t>
      </w:r>
      <w:r w:rsidR="00BD4665">
        <w:t>ribunal de céans de [</w:t>
      </w:r>
      <w:r w:rsidR="00BD4665" w:rsidRPr="00BD4665">
        <w:rPr>
          <w:i/>
        </w:rPr>
        <w:t>objet de la</w:t>
      </w:r>
      <w:r w:rsidR="00CB0920" w:rsidRPr="00BD4665">
        <w:rPr>
          <w:i/>
        </w:rPr>
        <w:t xml:space="preserve"> mesure </w:t>
      </w:r>
      <w:r w:rsidR="005C3B56">
        <w:rPr>
          <w:i/>
        </w:rPr>
        <w:t xml:space="preserve">d’instruction </w:t>
      </w:r>
      <w:r w:rsidR="00CB0920" w:rsidRPr="00BD4665">
        <w:rPr>
          <w:i/>
        </w:rPr>
        <w:t>sollicitée</w:t>
      </w:r>
      <w:r w:rsidR="00CB0920">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77777777" w:rsidR="00DA2A59" w:rsidRDefault="00DA2A59" w:rsidP="00DA2A59">
      <w:pPr>
        <w:rPr>
          <w:i/>
        </w:rPr>
      </w:pPr>
      <w:r w:rsidRPr="00780FAB">
        <w:rPr>
          <w:i/>
        </w:rPr>
        <w:t>Vu l</w:t>
      </w:r>
      <w:r w:rsidR="008E18E6">
        <w:rPr>
          <w:i/>
        </w:rPr>
        <w:t>’article 145</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75C5D6AA" w:rsidR="008E2547" w:rsidRDefault="00DC5F3C" w:rsidP="008E2547">
      <w:pPr>
        <w:jc w:val="both"/>
      </w:pPr>
      <w:r>
        <w:t>Il est demandé au Président près le</w:t>
      </w:r>
      <w:r w:rsidR="008E2547">
        <w:t xml:space="preserve"> Tribunal </w:t>
      </w:r>
      <w:r w:rsidR="00ED2C64">
        <w:t>judiciaire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77777777" w:rsidR="00DA2A59" w:rsidRPr="001561F8" w:rsidRDefault="001561F8" w:rsidP="00DA2A59">
      <w:pPr>
        <w:pStyle w:val="Paragraphedeliste"/>
        <w:numPr>
          <w:ilvl w:val="0"/>
          <w:numId w:val="3"/>
        </w:numPr>
        <w:jc w:val="both"/>
      </w:pPr>
      <w:r w:rsidRPr="001561F8">
        <w:rPr>
          <w:b/>
        </w:rPr>
        <w:t>AUTORISER</w:t>
      </w:r>
      <w:r>
        <w:t xml:space="preserve"> </w:t>
      </w:r>
      <w:r w:rsidR="004F7254">
        <w:t>[…]</w:t>
      </w:r>
    </w:p>
    <w:p w14:paraId="61B42A4A" w14:textId="77777777" w:rsidR="001561F8" w:rsidRDefault="001561F8" w:rsidP="001561F8">
      <w:pPr>
        <w:jc w:val="both"/>
      </w:pPr>
    </w:p>
    <w:p w14:paraId="57C73472" w14:textId="77777777" w:rsidR="008436CF" w:rsidRPr="008436CF" w:rsidRDefault="008436CF" w:rsidP="008436CF">
      <w:pPr>
        <w:pStyle w:val="Paragraphedeliste"/>
        <w:numPr>
          <w:ilvl w:val="0"/>
          <w:numId w:val="3"/>
        </w:numPr>
        <w:jc w:val="both"/>
        <w:rPr>
          <w:b/>
        </w:rPr>
      </w:pPr>
      <w:r w:rsidRPr="008436CF">
        <w:rPr>
          <w:b/>
        </w:rPr>
        <w:t xml:space="preserve">ORDONNER </w:t>
      </w:r>
      <w:r w:rsidR="004F7254">
        <w:t>[…]</w:t>
      </w:r>
    </w:p>
    <w:p w14:paraId="1033D1E8" w14:textId="77777777" w:rsidR="001561F8" w:rsidRDefault="001561F8" w:rsidP="001561F8">
      <w:pPr>
        <w:jc w:val="both"/>
      </w:pPr>
    </w:p>
    <w:p w14:paraId="2F08789D" w14:textId="77777777" w:rsidR="00F11F06" w:rsidRPr="004F7254" w:rsidRDefault="00BD3368" w:rsidP="00BD3368">
      <w:pPr>
        <w:pStyle w:val="Paragraphedeliste"/>
        <w:numPr>
          <w:ilvl w:val="0"/>
          <w:numId w:val="3"/>
        </w:numPr>
        <w:jc w:val="both"/>
        <w:rPr>
          <w:b/>
        </w:rPr>
      </w:pPr>
      <w:r w:rsidRPr="00BD3368">
        <w:rPr>
          <w:b/>
        </w:rPr>
        <w:t xml:space="preserve">DIRE </w:t>
      </w:r>
      <w:r w:rsidR="004F7254">
        <w:t>[…]</w:t>
      </w:r>
    </w:p>
    <w:p w14:paraId="7307F5E0" w14:textId="77777777" w:rsidR="004F7254" w:rsidRPr="004F7254" w:rsidRDefault="004F7254" w:rsidP="004F7254">
      <w:pPr>
        <w:pStyle w:val="Paragraphedeliste"/>
        <w:rPr>
          <w:b/>
        </w:rPr>
      </w:pPr>
    </w:p>
    <w:p w14:paraId="13708039" w14:textId="77777777" w:rsidR="004F7254" w:rsidRPr="00BD3368" w:rsidRDefault="004F7254" w:rsidP="00BD3368">
      <w:pPr>
        <w:pStyle w:val="Paragraphedeliste"/>
        <w:numPr>
          <w:ilvl w:val="0"/>
          <w:numId w:val="3"/>
        </w:numPr>
        <w:jc w:val="both"/>
        <w:rPr>
          <w:b/>
        </w:rPr>
      </w:pPr>
      <w:r>
        <w:rPr>
          <w:b/>
        </w:rPr>
        <w:t xml:space="preserve">NOMMER </w:t>
      </w:r>
      <w:r>
        <w:t>[…]</w:t>
      </w:r>
    </w:p>
    <w:p w14:paraId="5DF3C945" w14:textId="77777777" w:rsidR="00F11F06" w:rsidRDefault="00F11F06" w:rsidP="001561F8">
      <w:pPr>
        <w:jc w:val="both"/>
      </w:pPr>
    </w:p>
    <w:p w14:paraId="6C7D4F9A" w14:textId="77777777" w:rsidR="00805780" w:rsidRDefault="00805780" w:rsidP="004D571A">
      <w:pPr>
        <w:jc w:val="both"/>
      </w:pPr>
    </w:p>
    <w:p w14:paraId="1E63CA99" w14:textId="77777777" w:rsidR="00BE5D45" w:rsidRDefault="00BE5D45"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50245AC1" w14:textId="77777777" w:rsidR="006E2390" w:rsidRDefault="006E2390">
      <w:pPr>
        <w:spacing w:after="200" w:line="276" w:lineRule="auto"/>
      </w:pPr>
      <w:r>
        <w:br w:type="page"/>
      </w:r>
    </w:p>
    <w:p w14:paraId="1DBA738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4EF04F2"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309D77E7"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240DB768" w14:textId="77777777" w:rsidR="006E2390" w:rsidRDefault="006E2390" w:rsidP="00381CA2">
      <w:pPr>
        <w:jc w:val="both"/>
      </w:pPr>
    </w:p>
    <w:p w14:paraId="3D41C621" w14:textId="77777777" w:rsidR="00030753" w:rsidRPr="00795898" w:rsidRDefault="00030753" w:rsidP="00381CA2">
      <w:pPr>
        <w:jc w:val="both"/>
      </w:pPr>
    </w:p>
    <w:p w14:paraId="1F5AC66B" w14:textId="1B34DBF6" w:rsidR="006E2390" w:rsidRPr="00795898" w:rsidRDefault="00030753" w:rsidP="00381CA2">
      <w:pPr>
        <w:jc w:val="both"/>
      </w:pPr>
      <w:r>
        <w:rPr>
          <w:b/>
        </w:rPr>
        <w:t xml:space="preserve">Nous, </w:t>
      </w:r>
      <w:r w:rsidR="00397112">
        <w:t>Président près le</w:t>
      </w:r>
      <w:r w:rsidR="006E2390" w:rsidRPr="00795898">
        <w:t xml:space="preserve"> Tribunal </w:t>
      </w:r>
      <w:r w:rsidR="00723FD7">
        <w:t>judiciaire</w:t>
      </w:r>
      <w:r w:rsidR="006E2390" w:rsidRPr="00795898">
        <w:t xml:space="preserve"> de </w:t>
      </w:r>
      <w:r w:rsidR="001D0B2B" w:rsidRPr="001D0B2B">
        <w:rPr>
          <w:i/>
        </w:rPr>
        <w:t>[ville]</w:t>
      </w:r>
    </w:p>
    <w:p w14:paraId="787AB5F5" w14:textId="77777777" w:rsidR="006E2390" w:rsidRDefault="006E2390" w:rsidP="00381CA2">
      <w:pPr>
        <w:jc w:val="both"/>
      </w:pPr>
    </w:p>
    <w:p w14:paraId="16A375F6" w14:textId="77777777" w:rsidR="00030753" w:rsidRDefault="00030753" w:rsidP="00381CA2">
      <w:pPr>
        <w:jc w:val="both"/>
      </w:pPr>
      <w:r>
        <w:t xml:space="preserve">Assisté de </w:t>
      </w:r>
      <w:r w:rsidRPr="00030753">
        <w:rPr>
          <w:i/>
        </w:rPr>
        <w:t>[identité du greffier]</w:t>
      </w:r>
      <w:r>
        <w:t>, greffier</w:t>
      </w:r>
    </w:p>
    <w:p w14:paraId="17F11EE2" w14:textId="77777777" w:rsidR="00030753" w:rsidRPr="00795898" w:rsidRDefault="00030753" w:rsidP="00381CA2">
      <w:pPr>
        <w:jc w:val="both"/>
      </w:pPr>
    </w:p>
    <w:p w14:paraId="183A86A4" w14:textId="77777777" w:rsidR="006E2390" w:rsidRDefault="002533CE" w:rsidP="00381CA2">
      <w:pPr>
        <w:jc w:val="both"/>
        <w:rPr>
          <w:i/>
        </w:rPr>
      </w:pPr>
      <w:r w:rsidRPr="002D7840">
        <w:rPr>
          <w:i/>
        </w:rPr>
        <w:t>Vu l’article</w:t>
      </w:r>
      <w:r w:rsidR="008E18E6">
        <w:rPr>
          <w:i/>
        </w:rPr>
        <w:t xml:space="preserve"> 145</w:t>
      </w:r>
      <w:r w:rsidR="00B03ECC">
        <w:rPr>
          <w:i/>
        </w:rPr>
        <w:t xml:space="preserve"> </w:t>
      </w:r>
      <w:r w:rsidR="006E2390" w:rsidRPr="002D7840">
        <w:rPr>
          <w:i/>
        </w:rPr>
        <w:t>du Code de procédure civile</w:t>
      </w:r>
    </w:p>
    <w:p w14:paraId="184C0072"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12A42A40" w14:textId="77777777" w:rsidR="006E2390" w:rsidRDefault="006E2390" w:rsidP="00381CA2">
      <w:pPr>
        <w:jc w:val="both"/>
      </w:pPr>
    </w:p>
    <w:p w14:paraId="3EF593B2" w14:textId="77777777" w:rsidR="00CD5594" w:rsidRDefault="00CD5594" w:rsidP="00381CA2">
      <w:pPr>
        <w:jc w:val="both"/>
      </w:pPr>
    </w:p>
    <w:p w14:paraId="6E2FE136" w14:textId="77777777" w:rsidR="00CD5594" w:rsidRPr="00D5620D" w:rsidRDefault="00030753" w:rsidP="00381CA2">
      <w:pPr>
        <w:jc w:val="both"/>
        <w:rPr>
          <w:b/>
        </w:rPr>
      </w:pPr>
      <w:r>
        <w:rPr>
          <w:b/>
        </w:rPr>
        <w:t xml:space="preserve">Autorisons </w:t>
      </w:r>
      <w:r w:rsidR="00B03ECC" w:rsidRPr="00B03ECC">
        <w:t>[…]</w:t>
      </w:r>
    </w:p>
    <w:p w14:paraId="3DDFD4BF" w14:textId="77777777" w:rsidR="00CD5594" w:rsidRDefault="00CD5594" w:rsidP="00381CA2">
      <w:pPr>
        <w:jc w:val="both"/>
      </w:pPr>
    </w:p>
    <w:p w14:paraId="4EF16E3D" w14:textId="77777777" w:rsidR="00B03ECC" w:rsidRDefault="00B03ECC" w:rsidP="00381CA2">
      <w:pPr>
        <w:jc w:val="both"/>
      </w:pPr>
      <w:r w:rsidRPr="00B03ECC">
        <w:rPr>
          <w:b/>
        </w:rPr>
        <w:t>Ordonnons</w:t>
      </w:r>
      <w:r>
        <w:t xml:space="preserve"> […]</w:t>
      </w:r>
    </w:p>
    <w:p w14:paraId="1F1F059C" w14:textId="77777777" w:rsidR="00B03ECC" w:rsidRDefault="00B03ECC" w:rsidP="00381CA2">
      <w:pPr>
        <w:jc w:val="both"/>
      </w:pPr>
    </w:p>
    <w:p w14:paraId="0426F749" w14:textId="77777777" w:rsidR="00B03ECC" w:rsidRDefault="00B03ECC" w:rsidP="00381CA2">
      <w:pPr>
        <w:jc w:val="both"/>
      </w:pPr>
      <w:r w:rsidRPr="00297858">
        <w:rPr>
          <w:b/>
        </w:rPr>
        <w:t xml:space="preserve">Disons </w:t>
      </w:r>
      <w:r>
        <w:t xml:space="preserve">[…] </w:t>
      </w:r>
    </w:p>
    <w:p w14:paraId="65E9552D" w14:textId="77777777" w:rsidR="00B03ECC" w:rsidRDefault="00B03ECC" w:rsidP="00381CA2">
      <w:pPr>
        <w:jc w:val="both"/>
      </w:pPr>
    </w:p>
    <w:p w14:paraId="43759F40" w14:textId="77777777" w:rsidR="00B03ECC" w:rsidRDefault="00B03ECC" w:rsidP="00381CA2">
      <w:pPr>
        <w:jc w:val="both"/>
      </w:pPr>
      <w:r w:rsidRPr="00297858">
        <w:rPr>
          <w:b/>
        </w:rPr>
        <w:t>Nommons</w:t>
      </w:r>
      <w:r>
        <w:t xml:space="preserve"> […]</w:t>
      </w:r>
    </w:p>
    <w:p w14:paraId="126B366A" w14:textId="77777777" w:rsidR="00030753" w:rsidRDefault="00030753" w:rsidP="00381CA2">
      <w:pPr>
        <w:jc w:val="both"/>
      </w:pPr>
    </w:p>
    <w:p w14:paraId="36134405" w14:textId="77777777" w:rsidR="00C4758D" w:rsidRDefault="00C4758D" w:rsidP="00381CA2">
      <w:pPr>
        <w:jc w:val="both"/>
      </w:pPr>
    </w:p>
    <w:p w14:paraId="1C25408C" w14:textId="77777777" w:rsidR="007521FB" w:rsidRDefault="007521FB" w:rsidP="00381CA2">
      <w:pPr>
        <w:jc w:val="both"/>
      </w:pPr>
    </w:p>
    <w:p w14:paraId="5C29EE55" w14:textId="77777777" w:rsidR="00B03ECC" w:rsidRDefault="00B03ECC" w:rsidP="00381CA2">
      <w:pPr>
        <w:jc w:val="both"/>
      </w:pPr>
    </w:p>
    <w:p w14:paraId="4FA92AEA" w14:textId="77777777" w:rsidR="00030753" w:rsidRPr="00795898" w:rsidRDefault="00030753" w:rsidP="00381CA2">
      <w:pPr>
        <w:jc w:val="both"/>
      </w:pPr>
    </w:p>
    <w:p w14:paraId="27E02C66" w14:textId="7EFC1B46" w:rsidR="006E2390" w:rsidRPr="00795898" w:rsidRDefault="006E2390" w:rsidP="00381CA2">
      <w:pPr>
        <w:jc w:val="both"/>
      </w:pPr>
      <w:r w:rsidRPr="00795898">
        <w:t xml:space="preserve">Fait en notre cabinet, au Tribunal </w:t>
      </w:r>
      <w:r w:rsidR="00C04CF7">
        <w:t>judiciaire</w:t>
      </w:r>
      <w:r w:rsidRPr="00795898">
        <w:t xml:space="preserve"> de </w:t>
      </w:r>
      <w:r w:rsidR="0032158A" w:rsidRPr="0032158A">
        <w:rPr>
          <w:i/>
        </w:rPr>
        <w:t>[ville]</w:t>
      </w:r>
      <w:r w:rsidRPr="00795898">
        <w:t xml:space="preserve">, </w:t>
      </w:r>
    </w:p>
    <w:p w14:paraId="5E141347" w14:textId="77777777" w:rsidR="00155CC8" w:rsidRDefault="00155CC8" w:rsidP="00381CA2">
      <w:pPr>
        <w:jc w:val="both"/>
      </w:pPr>
    </w:p>
    <w:p w14:paraId="43347CE9"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4FA8C29F" w14:textId="77777777" w:rsidR="006E2390" w:rsidRDefault="006E2390" w:rsidP="00381CA2">
      <w:pPr>
        <w:jc w:val="both"/>
      </w:pPr>
    </w:p>
    <w:p w14:paraId="183F2EA6" w14:textId="77777777" w:rsidR="00381CA2" w:rsidRDefault="00381CA2" w:rsidP="00381CA2">
      <w:pPr>
        <w:jc w:val="both"/>
      </w:pPr>
    </w:p>
    <w:p w14:paraId="4AED4476" w14:textId="77777777" w:rsidR="00381CA2" w:rsidRDefault="00381CA2" w:rsidP="00381CA2">
      <w:pPr>
        <w:jc w:val="both"/>
      </w:pPr>
    </w:p>
    <w:p w14:paraId="0B683884" w14:textId="77777777" w:rsidR="00381CA2" w:rsidRDefault="00381CA2" w:rsidP="00381CA2">
      <w:pPr>
        <w:jc w:val="both"/>
      </w:pPr>
    </w:p>
    <w:p w14:paraId="384CC4AB" w14:textId="77777777" w:rsidR="00381CA2" w:rsidRDefault="00381CA2" w:rsidP="00381CA2">
      <w:pPr>
        <w:jc w:val="both"/>
      </w:pPr>
    </w:p>
    <w:p w14:paraId="7421AE1B"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4"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3"/>
  </w:num>
  <w:num w:numId="5">
    <w:abstractNumId w:val="13"/>
  </w:num>
  <w:num w:numId="6">
    <w:abstractNumId w:val="10"/>
  </w:num>
  <w:num w:numId="7">
    <w:abstractNumId w:val="4"/>
  </w:num>
  <w:num w:numId="8">
    <w:abstractNumId w:val="6"/>
  </w:num>
  <w:num w:numId="9">
    <w:abstractNumId w:val="2"/>
  </w:num>
  <w:num w:numId="10">
    <w:abstractNumId w:val="12"/>
  </w:num>
  <w:num w:numId="11">
    <w:abstractNumId w:val="0"/>
  </w:num>
  <w:num w:numId="12">
    <w:abstractNumId w:val="5"/>
  </w:num>
  <w:num w:numId="13">
    <w:abstractNumId w:val="8"/>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B1"/>
    <w:rsid w:val="00004805"/>
    <w:rsid w:val="00023A9C"/>
    <w:rsid w:val="00030753"/>
    <w:rsid w:val="00033E97"/>
    <w:rsid w:val="00034742"/>
    <w:rsid w:val="00047202"/>
    <w:rsid w:val="00047FE3"/>
    <w:rsid w:val="0006170A"/>
    <w:rsid w:val="00067608"/>
    <w:rsid w:val="00071B90"/>
    <w:rsid w:val="000C256D"/>
    <w:rsid w:val="000E08B1"/>
    <w:rsid w:val="00104889"/>
    <w:rsid w:val="00132F4B"/>
    <w:rsid w:val="00141E2A"/>
    <w:rsid w:val="00153CB6"/>
    <w:rsid w:val="00155CC8"/>
    <w:rsid w:val="001561F8"/>
    <w:rsid w:val="00156325"/>
    <w:rsid w:val="001841A5"/>
    <w:rsid w:val="001A734C"/>
    <w:rsid w:val="001B7121"/>
    <w:rsid w:val="001C1CB8"/>
    <w:rsid w:val="001D0B2B"/>
    <w:rsid w:val="001D1A6B"/>
    <w:rsid w:val="001F1637"/>
    <w:rsid w:val="001F390C"/>
    <w:rsid w:val="001F6F07"/>
    <w:rsid w:val="00200551"/>
    <w:rsid w:val="00204C8E"/>
    <w:rsid w:val="002072FF"/>
    <w:rsid w:val="00215D9D"/>
    <w:rsid w:val="00230F0F"/>
    <w:rsid w:val="00235B59"/>
    <w:rsid w:val="002533CE"/>
    <w:rsid w:val="00292B98"/>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B3A7B"/>
    <w:rsid w:val="005B4406"/>
    <w:rsid w:val="005B45C6"/>
    <w:rsid w:val="005B514B"/>
    <w:rsid w:val="005C3B56"/>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707A1C"/>
    <w:rsid w:val="007127D7"/>
    <w:rsid w:val="00720291"/>
    <w:rsid w:val="0072182B"/>
    <w:rsid w:val="00723FD7"/>
    <w:rsid w:val="00726412"/>
    <w:rsid w:val="00750D3B"/>
    <w:rsid w:val="007521FB"/>
    <w:rsid w:val="00763A66"/>
    <w:rsid w:val="0076677C"/>
    <w:rsid w:val="00791AF0"/>
    <w:rsid w:val="007A3DF0"/>
    <w:rsid w:val="007E280E"/>
    <w:rsid w:val="007E38EF"/>
    <w:rsid w:val="007E7C50"/>
    <w:rsid w:val="007F2FA9"/>
    <w:rsid w:val="007F366A"/>
    <w:rsid w:val="00800DA0"/>
    <w:rsid w:val="00805780"/>
    <w:rsid w:val="00806824"/>
    <w:rsid w:val="00824A4E"/>
    <w:rsid w:val="008328F7"/>
    <w:rsid w:val="00835914"/>
    <w:rsid w:val="008436CF"/>
    <w:rsid w:val="00864E3E"/>
    <w:rsid w:val="0086588B"/>
    <w:rsid w:val="0089457C"/>
    <w:rsid w:val="008B674C"/>
    <w:rsid w:val="008C084B"/>
    <w:rsid w:val="008C527D"/>
    <w:rsid w:val="008C789B"/>
    <w:rsid w:val="008D1E11"/>
    <w:rsid w:val="008E18E6"/>
    <w:rsid w:val="008E2547"/>
    <w:rsid w:val="008E28B5"/>
    <w:rsid w:val="008F01DA"/>
    <w:rsid w:val="008F025E"/>
    <w:rsid w:val="009108BE"/>
    <w:rsid w:val="00912E71"/>
    <w:rsid w:val="009400FE"/>
    <w:rsid w:val="009561AF"/>
    <w:rsid w:val="00960909"/>
    <w:rsid w:val="00971C6D"/>
    <w:rsid w:val="00984099"/>
    <w:rsid w:val="00984912"/>
    <w:rsid w:val="009B1F1A"/>
    <w:rsid w:val="009C32FB"/>
    <w:rsid w:val="009D587A"/>
    <w:rsid w:val="009D7562"/>
    <w:rsid w:val="009F2DB7"/>
    <w:rsid w:val="00A0788E"/>
    <w:rsid w:val="00A07A63"/>
    <w:rsid w:val="00A169D6"/>
    <w:rsid w:val="00A20FA9"/>
    <w:rsid w:val="00A3053B"/>
    <w:rsid w:val="00A37792"/>
    <w:rsid w:val="00A70897"/>
    <w:rsid w:val="00A72077"/>
    <w:rsid w:val="00AA1B57"/>
    <w:rsid w:val="00AA7009"/>
    <w:rsid w:val="00AB4A3B"/>
    <w:rsid w:val="00AD67C1"/>
    <w:rsid w:val="00AE4622"/>
    <w:rsid w:val="00B00B31"/>
    <w:rsid w:val="00B03ECC"/>
    <w:rsid w:val="00B13005"/>
    <w:rsid w:val="00B1652A"/>
    <w:rsid w:val="00B775CF"/>
    <w:rsid w:val="00BB70E0"/>
    <w:rsid w:val="00BC25C0"/>
    <w:rsid w:val="00BD3368"/>
    <w:rsid w:val="00BD4665"/>
    <w:rsid w:val="00BE5D45"/>
    <w:rsid w:val="00C04CF7"/>
    <w:rsid w:val="00C07E9A"/>
    <w:rsid w:val="00C11647"/>
    <w:rsid w:val="00C12ADA"/>
    <w:rsid w:val="00C13F96"/>
    <w:rsid w:val="00C4758D"/>
    <w:rsid w:val="00C72C12"/>
    <w:rsid w:val="00CA3496"/>
    <w:rsid w:val="00CB0920"/>
    <w:rsid w:val="00CB3BE1"/>
    <w:rsid w:val="00CB44EC"/>
    <w:rsid w:val="00CB68DF"/>
    <w:rsid w:val="00CC4915"/>
    <w:rsid w:val="00CD5594"/>
    <w:rsid w:val="00CE7DDC"/>
    <w:rsid w:val="00D058FC"/>
    <w:rsid w:val="00D13055"/>
    <w:rsid w:val="00D4188B"/>
    <w:rsid w:val="00D51BF0"/>
    <w:rsid w:val="00D54A38"/>
    <w:rsid w:val="00D5620D"/>
    <w:rsid w:val="00D7314A"/>
    <w:rsid w:val="00D77AEE"/>
    <w:rsid w:val="00D922AC"/>
    <w:rsid w:val="00D93402"/>
    <w:rsid w:val="00DA2A59"/>
    <w:rsid w:val="00DC20D7"/>
    <w:rsid w:val="00DC5F3C"/>
    <w:rsid w:val="00DD5540"/>
    <w:rsid w:val="00DD588A"/>
    <w:rsid w:val="00DD74F7"/>
    <w:rsid w:val="00DE322A"/>
    <w:rsid w:val="00DE6225"/>
    <w:rsid w:val="00E03497"/>
    <w:rsid w:val="00E3694F"/>
    <w:rsid w:val="00E5453B"/>
    <w:rsid w:val="00E73761"/>
    <w:rsid w:val="00E7677F"/>
    <w:rsid w:val="00E924A6"/>
    <w:rsid w:val="00EB0BBC"/>
    <w:rsid w:val="00ED2C64"/>
    <w:rsid w:val="00ED4124"/>
    <w:rsid w:val="00ED6F9D"/>
    <w:rsid w:val="00EE1873"/>
    <w:rsid w:val="00EF613A"/>
    <w:rsid w:val="00F03A84"/>
    <w:rsid w:val="00F11F06"/>
    <w:rsid w:val="00F15935"/>
    <w:rsid w:val="00F339ED"/>
    <w:rsid w:val="00F45375"/>
    <w:rsid w:val="00F5461B"/>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A72077"/>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1198</Words>
  <Characters>6590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12</cp:revision>
  <cp:lastPrinted>2018-12-27T11:23:00Z</cp:lastPrinted>
  <dcterms:created xsi:type="dcterms:W3CDTF">2020-10-03T11:19:00Z</dcterms:created>
  <dcterms:modified xsi:type="dcterms:W3CDTF">2020-10-04T13:04:00Z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