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62F48CB2"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INSCRIPTION D’HYPOTH</w:t>
      </w:r>
      <w:r w:rsidR="00221E6C" w:rsidRPr="00221E6C">
        <w:t>È</w:t>
      </w:r>
      <w:r w:rsidR="00221E6C">
        <w:t>QUE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6127407" w14:textId="6503E50C"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bookmarkStart w:id="0" w:name="_GoBack"/>
      <w:bookmarkEnd w:id="0"/>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6A42FB65"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d’inscrire une hypothèque judiciaire</w:t>
      </w:r>
      <w:r>
        <w:t xml:space="preserve"> au préjudice de </w:t>
      </w:r>
      <w:r w:rsidRPr="0069661E">
        <w:rPr>
          <w:i/>
        </w:rPr>
        <w:t>[identité du demandeur]</w:t>
      </w:r>
      <w:r w:rsidR="00B4111D">
        <w:t xml:space="preserve"> sur un immeuble lui appartenant situé </w:t>
      </w:r>
      <w:r w:rsidR="00B4111D" w:rsidRPr="00B4111D">
        <w:rPr>
          <w:i/>
        </w:rPr>
        <w:t>[adresse]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6ED5128A"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d’hypothèque judiciaire </w:t>
      </w:r>
      <w:r>
        <w:t>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617F3B9D" w:rsidR="00757DF1" w:rsidRDefault="00BE7B86" w:rsidP="00210AB0">
      <w:pPr>
        <w:numPr>
          <w:ilvl w:val="0"/>
          <w:numId w:val="5"/>
        </w:numPr>
      </w:pPr>
      <w:r w:rsidRPr="001F0ACC">
        <w:rPr>
          <w:b/>
        </w:rPr>
        <w:t>ORDONNER</w:t>
      </w:r>
      <w:r>
        <w:t xml:space="preserve"> </w:t>
      </w:r>
      <w:r w:rsidR="00BB414E">
        <w:t xml:space="preserve">la mainlevée immédiate de </w:t>
      </w:r>
      <w:r w:rsidR="008139F6">
        <w:t>l’inscription d’hypothèque judiciaire</w:t>
      </w:r>
      <w:r w:rsidR="00BB414E">
        <w:t xml:space="preserve"> pratiquée </w:t>
      </w:r>
      <w:r w:rsidR="00985082">
        <w:t xml:space="preserve">à titre conservatoire </w:t>
      </w:r>
      <w:r w:rsidR="00BB414E">
        <w:t xml:space="preserve">par </w:t>
      </w:r>
      <w:r w:rsidR="00BB414E" w:rsidRPr="007A501C">
        <w:rPr>
          <w:i/>
        </w:rPr>
        <w:t xml:space="preserve">[identité du créancier saisissant] </w:t>
      </w:r>
      <w:r w:rsidR="00CF5CAC">
        <w:t>sur le fondement de l’ordonnance précitée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lastRenderedPageBreak/>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C6AA" w14:textId="77777777" w:rsidR="00357510" w:rsidRDefault="00357510">
      <w:r>
        <w:separator/>
      </w:r>
    </w:p>
  </w:endnote>
  <w:endnote w:type="continuationSeparator" w:id="0">
    <w:p w14:paraId="51B49EB2" w14:textId="77777777" w:rsidR="00357510" w:rsidRDefault="0035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05AF9FD0"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F3525">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5515A41B" w:rsidR="008D0A52" w:rsidRDefault="008D0A52">
    <w:pPr>
      <w:pStyle w:val="Pieddepage"/>
      <w:jc w:val="center"/>
    </w:pPr>
    <w:r>
      <w:fldChar w:fldCharType="begin"/>
    </w:r>
    <w:r>
      <w:instrText>PAGE   \* MERGEFORMAT</w:instrText>
    </w:r>
    <w:r>
      <w:fldChar w:fldCharType="separate"/>
    </w:r>
    <w:r w:rsidR="004F3525">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E599" w14:textId="77777777" w:rsidR="00357510" w:rsidRDefault="00357510">
      <w:r>
        <w:separator/>
      </w:r>
    </w:p>
  </w:footnote>
  <w:footnote w:type="continuationSeparator" w:id="0">
    <w:p w14:paraId="677436E8" w14:textId="77777777" w:rsidR="00357510" w:rsidRDefault="0035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5E9B"/>
    <w:rsid w:val="0032003E"/>
    <w:rsid w:val="00320318"/>
    <w:rsid w:val="00330AAE"/>
    <w:rsid w:val="00357510"/>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3525"/>
    <w:rsid w:val="004F6BA4"/>
    <w:rsid w:val="0050190D"/>
    <w:rsid w:val="00504E16"/>
    <w:rsid w:val="00506D40"/>
    <w:rsid w:val="005111D5"/>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0DD3"/>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26234"/>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1825</Words>
  <Characters>10043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27</cp:revision>
  <cp:lastPrinted>2018-05-24T19:57:00Z</cp:lastPrinted>
  <dcterms:created xsi:type="dcterms:W3CDTF">2020-08-20T09:45:00Z</dcterms:created>
  <dcterms:modified xsi:type="dcterms:W3CDTF">2020-08-21T12:59:00Z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656313962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