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7A113824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le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62DFFD0D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256B84">
        <w:t xml:space="preserve">AUX FINS </w:t>
      </w:r>
      <w:r w:rsidR="007D1C0F">
        <w:t>DE NOMINATION D’UN EXPERT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 xml:space="preserve">LE TRIBUNAL </w:t>
      </w:r>
      <w:r w:rsidR="007F6816">
        <w:t>JUDICIAIRE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FC2D98E" w14:textId="77777777" w:rsidR="007B458A" w:rsidRDefault="007B458A" w:rsidP="007B458A">
      <w:pPr>
        <w:rPr>
          <w:rStyle w:val="Policequestion"/>
          <w:b w:val="0"/>
        </w:rPr>
      </w:pPr>
    </w:p>
    <w:p w14:paraId="44D3AD0B" w14:textId="77777777" w:rsidR="007F6816" w:rsidRPr="00472692" w:rsidRDefault="007F6816" w:rsidP="007F6816">
      <w:pPr>
        <w:rPr>
          <w:rStyle w:val="Policequestion"/>
          <w:b w:val="0"/>
        </w:rPr>
      </w:pPr>
    </w:p>
    <w:p w14:paraId="07A24668" w14:textId="77777777" w:rsidR="007F6816" w:rsidRDefault="007F6816" w:rsidP="007F6816">
      <w:pPr>
        <w:pStyle w:val="Titre2"/>
        <w:keepNext w:val="0"/>
        <w:rPr>
          <w:u w:val="none"/>
        </w:rPr>
      </w:pPr>
      <w:r>
        <w:t>POUR :</w:t>
      </w:r>
    </w:p>
    <w:p w14:paraId="7773BB3A" w14:textId="77777777" w:rsidR="007F6816" w:rsidRDefault="007F6816" w:rsidP="007F6816"/>
    <w:p w14:paraId="2DE289CC" w14:textId="77777777" w:rsidR="007F6816" w:rsidRPr="003A315C" w:rsidRDefault="007F6816" w:rsidP="007F681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6CD15F9" w14:textId="77777777" w:rsidR="007F6816" w:rsidRDefault="007F6816" w:rsidP="007F6816">
      <w:pPr>
        <w:rPr>
          <w:b/>
        </w:rPr>
      </w:pPr>
    </w:p>
    <w:p w14:paraId="64D0DA81" w14:textId="77777777" w:rsidR="007F6816" w:rsidRPr="000C5F9A" w:rsidRDefault="007F6816" w:rsidP="007F6816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3B5B7A07" w14:textId="77777777" w:rsidR="007F6816" w:rsidRDefault="007F6816" w:rsidP="007F6816"/>
    <w:p w14:paraId="3F653F5A" w14:textId="77777777" w:rsidR="007F6816" w:rsidRPr="003A315C" w:rsidRDefault="007F6816" w:rsidP="007F681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2A3C2D3F" w14:textId="77777777" w:rsidR="007F6816" w:rsidRDefault="007F6816" w:rsidP="007F6816">
      <w:pPr>
        <w:rPr>
          <w:b/>
        </w:rPr>
      </w:pPr>
    </w:p>
    <w:p w14:paraId="61A0A3A6" w14:textId="77777777" w:rsidR="007F6816" w:rsidRDefault="007F6816" w:rsidP="007F6816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6AB3085F" w14:textId="77777777" w:rsidR="007F6816" w:rsidRDefault="007F6816" w:rsidP="007F6816"/>
    <w:p w14:paraId="71550205" w14:textId="77777777" w:rsidR="007F6816" w:rsidRPr="00C03E29" w:rsidRDefault="007F6816" w:rsidP="007F6816">
      <w:pPr>
        <w:jc w:val="right"/>
        <w:rPr>
          <w:b/>
        </w:rPr>
      </w:pPr>
      <w:r>
        <w:rPr>
          <w:b/>
        </w:rPr>
        <w:t>DEMANDEUR/DÉFENDEUR</w:t>
      </w:r>
    </w:p>
    <w:p w14:paraId="653B6E07" w14:textId="77777777" w:rsidR="007F6816" w:rsidRDefault="007F6816" w:rsidP="007F6816"/>
    <w:p w14:paraId="33F8F842" w14:textId="77777777" w:rsidR="007F6816" w:rsidRDefault="007F6816" w:rsidP="007F6816"/>
    <w:p w14:paraId="7158BD29" w14:textId="77777777" w:rsidR="007F6816" w:rsidRDefault="007F6816" w:rsidP="007F6816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745DCF25" w14:textId="77777777" w:rsidR="007F6816" w:rsidRDefault="007F6816" w:rsidP="007F6816"/>
    <w:p w14:paraId="4DE0A505" w14:textId="77777777" w:rsidR="007F6816" w:rsidRPr="003C5E7B" w:rsidRDefault="007F6816" w:rsidP="007F6816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3E277DEB" w14:textId="77777777" w:rsidR="007F6816" w:rsidRDefault="007F6816" w:rsidP="007F6816"/>
    <w:p w14:paraId="0C1676B1" w14:textId="77777777" w:rsidR="007F6816" w:rsidRPr="003A315C" w:rsidRDefault="007F6816" w:rsidP="007F6816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D4215E" w14:textId="77777777" w:rsidR="007F6816" w:rsidRDefault="007F6816" w:rsidP="007F6816"/>
    <w:p w14:paraId="6910EE69" w14:textId="77777777" w:rsidR="007F6816" w:rsidRDefault="007F6816" w:rsidP="007F6816">
      <w:r w:rsidRPr="00C640F3">
        <w:rPr>
          <w:b/>
          <w:u w:val="single"/>
        </w:rPr>
        <w:t>Ayant pour avocat plaidant</w:t>
      </w:r>
      <w:r>
        <w:t> :</w:t>
      </w:r>
    </w:p>
    <w:p w14:paraId="49971520" w14:textId="77777777" w:rsidR="007F6816" w:rsidRDefault="007F6816" w:rsidP="007F6816"/>
    <w:p w14:paraId="44124471" w14:textId="77777777" w:rsidR="007F6816" w:rsidRDefault="007F6816" w:rsidP="007F6816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BD87866" w14:textId="77777777" w:rsidR="007F6816" w:rsidRDefault="007F6816" w:rsidP="007F6816"/>
    <w:p w14:paraId="0A8F9043" w14:textId="77777777" w:rsidR="007F6816" w:rsidRDefault="007F6816" w:rsidP="007F6816"/>
    <w:p w14:paraId="409E1E73" w14:textId="77777777" w:rsidR="007F6816" w:rsidRPr="00CA495E" w:rsidRDefault="007F6816" w:rsidP="007F6816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0D02FFE4" w14:textId="77777777" w:rsidR="007F6816" w:rsidRDefault="007F6816" w:rsidP="007F6816"/>
    <w:p w14:paraId="471F86B3" w14:textId="77777777" w:rsidR="007F6816" w:rsidRPr="003A315C" w:rsidRDefault="007F6816" w:rsidP="007F681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F7F55B3" w14:textId="77777777" w:rsidR="007F6816" w:rsidRDefault="007F6816" w:rsidP="007F6816">
      <w:pPr>
        <w:rPr>
          <w:b/>
        </w:rPr>
      </w:pPr>
    </w:p>
    <w:p w14:paraId="7307713E" w14:textId="77777777" w:rsidR="007F6816" w:rsidRPr="000C5F9A" w:rsidRDefault="007F6816" w:rsidP="007F6816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F9040B8" w14:textId="77777777" w:rsidR="007F6816" w:rsidRDefault="007F6816" w:rsidP="007F6816"/>
    <w:p w14:paraId="5C0FD3F2" w14:textId="77777777" w:rsidR="007F6816" w:rsidRPr="003A315C" w:rsidRDefault="007F6816" w:rsidP="007F681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642C38D" w14:textId="77777777" w:rsidR="007F6816" w:rsidRDefault="007F6816" w:rsidP="007F6816">
      <w:pPr>
        <w:rPr>
          <w:b/>
        </w:rPr>
      </w:pPr>
    </w:p>
    <w:p w14:paraId="2A54F3DB" w14:textId="77777777" w:rsidR="007F6816" w:rsidRDefault="007F6816" w:rsidP="007F6816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181BE729" w14:textId="77777777" w:rsidR="007F6816" w:rsidRDefault="007F6816" w:rsidP="007F6816"/>
    <w:p w14:paraId="017FD821" w14:textId="77777777" w:rsidR="007F6816" w:rsidRPr="00C03E29" w:rsidRDefault="007F6816" w:rsidP="007F6816">
      <w:pPr>
        <w:jc w:val="right"/>
        <w:rPr>
          <w:b/>
        </w:rPr>
      </w:pPr>
      <w:r>
        <w:rPr>
          <w:b/>
        </w:rPr>
        <w:t>DEMANDEUR/DÉFENDEUR</w:t>
      </w:r>
    </w:p>
    <w:p w14:paraId="2093215D" w14:textId="77777777" w:rsidR="007F6816" w:rsidRDefault="007F6816" w:rsidP="007F6816"/>
    <w:p w14:paraId="4773A92E" w14:textId="77777777" w:rsidR="007F6816" w:rsidRDefault="007F6816" w:rsidP="007F6816"/>
    <w:p w14:paraId="3B2E1820" w14:textId="77777777" w:rsidR="007F6816" w:rsidRDefault="007F6816" w:rsidP="007F6816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72604DA7" w14:textId="77777777" w:rsidR="007F6816" w:rsidRDefault="007F6816" w:rsidP="007F6816"/>
    <w:p w14:paraId="738FEB30" w14:textId="77777777" w:rsidR="007F6816" w:rsidRPr="003C5E7B" w:rsidRDefault="007F6816" w:rsidP="007F6816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33E8373" w14:textId="77777777" w:rsidR="007F6816" w:rsidRDefault="007F6816" w:rsidP="007F6816"/>
    <w:p w14:paraId="4045CC16" w14:textId="77777777" w:rsidR="007F6816" w:rsidRDefault="007F6816" w:rsidP="007F6816"/>
    <w:p w14:paraId="50B344D4" w14:textId="77777777" w:rsidR="007F6816" w:rsidRPr="003A315C" w:rsidRDefault="007F6816" w:rsidP="007F6816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086454E2" w14:textId="77777777" w:rsidR="007F6816" w:rsidRDefault="007F6816" w:rsidP="007F6816"/>
    <w:p w14:paraId="0C1909BE" w14:textId="77777777" w:rsidR="007F6816" w:rsidRDefault="007F6816" w:rsidP="007F6816">
      <w:r w:rsidRPr="00C640F3">
        <w:rPr>
          <w:b/>
          <w:u w:val="single"/>
        </w:rPr>
        <w:t>Ayant pour avocat plaidant</w:t>
      </w:r>
      <w:r>
        <w:t> :</w:t>
      </w:r>
    </w:p>
    <w:p w14:paraId="379774DF" w14:textId="77777777" w:rsidR="007F6816" w:rsidRDefault="007F6816" w:rsidP="007F6816"/>
    <w:p w14:paraId="486B675A" w14:textId="77777777" w:rsidR="007F6816" w:rsidRDefault="007F6816" w:rsidP="007F6816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B68C774" w14:textId="77777777" w:rsidR="007F6816" w:rsidRDefault="007F6816" w:rsidP="007F6816"/>
    <w:p w14:paraId="5DB88C39" w14:textId="77777777" w:rsidR="007F6816" w:rsidRDefault="007F6816" w:rsidP="007F6816"/>
    <w:p w14:paraId="0BE853CE" w14:textId="77777777" w:rsidR="007F6816" w:rsidRDefault="007F6816" w:rsidP="007F6816"/>
    <w:p w14:paraId="6AE3CB4B" w14:textId="77777777" w:rsidR="007F6816" w:rsidRPr="00AE1446" w:rsidRDefault="007F6816" w:rsidP="007F6816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3FFAE4B2" w14:textId="77777777" w:rsidR="007F6816" w:rsidRDefault="007F6816" w:rsidP="007F6816"/>
    <w:p w14:paraId="17246299" w14:textId="77777777" w:rsidR="007F6816" w:rsidRPr="003A315C" w:rsidRDefault="007F6816" w:rsidP="007F681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9E74A91" w14:textId="77777777" w:rsidR="007F6816" w:rsidRDefault="007F6816" w:rsidP="007F6816">
      <w:pPr>
        <w:rPr>
          <w:b/>
        </w:rPr>
      </w:pPr>
    </w:p>
    <w:p w14:paraId="69248559" w14:textId="77777777" w:rsidR="007F6816" w:rsidRPr="000C5F9A" w:rsidRDefault="007F6816" w:rsidP="007F6816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391C9E05" w14:textId="77777777" w:rsidR="007F6816" w:rsidRDefault="007F6816" w:rsidP="007F6816"/>
    <w:p w14:paraId="19E6F4DE" w14:textId="77777777" w:rsidR="007F6816" w:rsidRPr="003A315C" w:rsidRDefault="007F6816" w:rsidP="007F681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C4CB453" w14:textId="77777777" w:rsidR="007F6816" w:rsidRDefault="007F6816" w:rsidP="007F6816">
      <w:pPr>
        <w:rPr>
          <w:b/>
        </w:rPr>
      </w:pPr>
    </w:p>
    <w:p w14:paraId="35AEBF87" w14:textId="77777777" w:rsidR="007F6816" w:rsidRDefault="007F6816" w:rsidP="007F6816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0BF65CB0" w14:textId="77777777" w:rsidR="007F6816" w:rsidRDefault="007F6816" w:rsidP="007F6816"/>
    <w:p w14:paraId="054E79B9" w14:textId="77777777" w:rsidR="007F6816" w:rsidRPr="00C03E29" w:rsidRDefault="007F6816" w:rsidP="007F6816">
      <w:pPr>
        <w:jc w:val="right"/>
        <w:rPr>
          <w:b/>
        </w:rPr>
      </w:pPr>
      <w:r>
        <w:rPr>
          <w:b/>
        </w:rPr>
        <w:t>DEMANDEUR/DÉFENDEUR</w:t>
      </w:r>
    </w:p>
    <w:p w14:paraId="2EA06103" w14:textId="77777777" w:rsidR="007F6816" w:rsidRDefault="007F6816" w:rsidP="007F6816"/>
    <w:p w14:paraId="59B66969" w14:textId="77777777" w:rsidR="007F6816" w:rsidRDefault="007F6816" w:rsidP="007F6816"/>
    <w:p w14:paraId="45F6B943" w14:textId="77777777" w:rsidR="007F6816" w:rsidRDefault="007F6816" w:rsidP="007F6816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252E0A32" w14:textId="77777777" w:rsidR="007F6816" w:rsidRDefault="007F6816" w:rsidP="007F6816"/>
    <w:p w14:paraId="7249E53F" w14:textId="77777777" w:rsidR="007F6816" w:rsidRPr="003C5E7B" w:rsidRDefault="007F6816" w:rsidP="007F6816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7EC8DDC" w14:textId="77777777" w:rsidR="007F6816" w:rsidRDefault="007F6816" w:rsidP="007F6816"/>
    <w:p w14:paraId="690B0105" w14:textId="77777777" w:rsidR="007F6816" w:rsidRDefault="007F6816" w:rsidP="007F6816"/>
    <w:p w14:paraId="6632FD52" w14:textId="77777777" w:rsidR="007F6816" w:rsidRPr="003A315C" w:rsidRDefault="007F6816" w:rsidP="007F6816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4D2D3131" w14:textId="77777777" w:rsidR="007F6816" w:rsidRDefault="007F6816" w:rsidP="007F6816"/>
    <w:p w14:paraId="59C50F0C" w14:textId="77777777" w:rsidR="007F6816" w:rsidRDefault="007F6816" w:rsidP="007F6816">
      <w:r w:rsidRPr="00C640F3">
        <w:rPr>
          <w:b/>
          <w:u w:val="single"/>
        </w:rPr>
        <w:t>Ayant pour avocat plaidant</w:t>
      </w:r>
      <w:r>
        <w:t> :</w:t>
      </w:r>
    </w:p>
    <w:p w14:paraId="77DF2EED" w14:textId="77777777" w:rsidR="007F6816" w:rsidRDefault="007F6816" w:rsidP="007F6816"/>
    <w:p w14:paraId="481825B2" w14:textId="77777777" w:rsidR="007F6816" w:rsidRDefault="007F6816" w:rsidP="007F6816">
      <w:r w:rsidRPr="00C640F3">
        <w:rPr>
          <w:b/>
        </w:rPr>
        <w:lastRenderedPageBreak/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16AF135" w14:textId="77777777" w:rsidR="007F6816" w:rsidRDefault="007F6816" w:rsidP="007F6816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793EE754" w:rsidR="00AD5096" w:rsidRPr="00AD5096" w:rsidRDefault="004F1F6F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 xml:space="preserve">Sur </w:t>
      </w:r>
      <w:r w:rsidR="007D1C0F">
        <w:rPr>
          <w:b/>
          <w:u w:val="single"/>
        </w:rPr>
        <w:t>la nomination d’un expert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Default="003B06BA" w:rsidP="00AD5096"/>
    <w:p w14:paraId="59F195F2" w14:textId="6318544C" w:rsidR="00AF7A6A" w:rsidRPr="00AF7A6A" w:rsidRDefault="00AF7A6A" w:rsidP="00AF7A6A">
      <w:r w:rsidRPr="00AF7A6A">
        <w:rPr>
          <w:u w:val="single"/>
        </w:rPr>
        <w:t>L’article 7</w:t>
      </w:r>
      <w:r w:rsidR="009B0B15">
        <w:rPr>
          <w:u w:val="single"/>
        </w:rPr>
        <w:t>89</w:t>
      </w:r>
      <w:r w:rsidRPr="00AF7A6A">
        <w:rPr>
          <w:u w:val="single"/>
        </w:rPr>
        <w:t>, 5</w:t>
      </w:r>
      <w:r w:rsidRPr="00AF7A6A">
        <w:t>° du CPC dispose que « </w:t>
      </w:r>
      <w:r w:rsidRPr="00AF7A6A">
        <w:rPr>
          <w:i/>
          <w:iCs/>
        </w:rPr>
        <w:t>lorsque la demande est présentée postérieurement à sa désignation, le juge de la mise en état est, jusqu’à son dessaisissement, seul compétent, à l’exclusion de toute autre formation du tribunal, pour […] ordonner, même d’office, toute mesure d’instruction</w:t>
      </w:r>
      <w:r w:rsidRPr="00AF7A6A">
        <w:t>. »</w:t>
      </w:r>
    </w:p>
    <w:p w14:paraId="7F8425CD" w14:textId="77777777" w:rsidR="00AF7A6A" w:rsidRDefault="00AF7A6A" w:rsidP="00AF7A6A"/>
    <w:p w14:paraId="24123BC2" w14:textId="3298FB7D" w:rsidR="00AF7A6A" w:rsidRPr="00AF7A6A" w:rsidRDefault="00AF7A6A" w:rsidP="00AF7A6A">
      <w:r w:rsidRPr="00AF7A6A">
        <w:t>De toute évidence, cette dispos</w:t>
      </w:r>
      <w:r w:rsidR="00CB2F71">
        <w:t xml:space="preserve">ition fait directement écho aux </w:t>
      </w:r>
      <w:r w:rsidRPr="00AF7A6A">
        <w:rPr>
          <w:u w:val="single"/>
        </w:rPr>
        <w:t>articles 143</w:t>
      </w:r>
      <w:r>
        <w:t xml:space="preserve"> </w:t>
      </w:r>
      <w:r w:rsidRPr="00AF7A6A">
        <w:t>et suivants du CPC qui régissent les mesures d’instruction susceptible d’être prises dans le cadre du procès civil</w:t>
      </w:r>
    </w:p>
    <w:p w14:paraId="0BAB29E7" w14:textId="77777777" w:rsidR="00AF7A6A" w:rsidRDefault="00AF7A6A" w:rsidP="00AF7A6A"/>
    <w:p w14:paraId="6A8B48F5" w14:textId="16F81054" w:rsidR="00AF7A6A" w:rsidRPr="00AF7A6A" w:rsidRDefault="00AF7A6A" w:rsidP="00AF7A6A">
      <w:r>
        <w:t xml:space="preserve">En particulier, </w:t>
      </w:r>
      <w:r w:rsidRPr="00AF7A6A">
        <w:rPr>
          <w:u w:val="single"/>
        </w:rPr>
        <w:t>l’article 143</w:t>
      </w:r>
      <w:r>
        <w:t xml:space="preserve"> </w:t>
      </w:r>
      <w:r w:rsidRPr="00AF7A6A">
        <w:t>du CPC dispose que « </w:t>
      </w:r>
      <w:r w:rsidRPr="00AF7A6A">
        <w:rPr>
          <w:i/>
          <w:iCs/>
        </w:rPr>
        <w:t>les faits dont dépend la solution du litige peuvent, à la demande des parties ou d’office, être l’objet de toute mesure d’instruction légalement admissible</w:t>
      </w:r>
      <w:proofErr w:type="gramStart"/>
      <w:r w:rsidRPr="00AF7A6A">
        <w:rPr>
          <w:i/>
          <w:iCs/>
        </w:rPr>
        <w:t>.</w:t>
      </w:r>
      <w:r w:rsidRPr="00AF7A6A">
        <w:t>»</w:t>
      </w:r>
      <w:proofErr w:type="gramEnd"/>
    </w:p>
    <w:p w14:paraId="40734322" w14:textId="77777777" w:rsidR="00AF7A6A" w:rsidRDefault="00AF7A6A" w:rsidP="00AF7A6A">
      <w:pPr>
        <w:rPr>
          <w:u w:val="single"/>
        </w:rPr>
      </w:pPr>
    </w:p>
    <w:p w14:paraId="7C7AC3C7" w14:textId="6398C96C" w:rsidR="00AF7A6A" w:rsidRPr="00AF7A6A" w:rsidRDefault="00AF7A6A" w:rsidP="00AF7A6A">
      <w:r w:rsidRPr="00AF7A6A">
        <w:rPr>
          <w:u w:val="single"/>
        </w:rPr>
        <w:t>L’article 144</w:t>
      </w:r>
      <w:r>
        <w:t xml:space="preserve"> </w:t>
      </w:r>
      <w:r w:rsidRPr="00AF7A6A">
        <w:t>précise que les mesures d’instruction peuvent être ordonnées en tout état de cause, dès lors que le juge ne dispose pas d’éléments suffisants pour statuer.</w:t>
      </w:r>
    </w:p>
    <w:p w14:paraId="20E33C61" w14:textId="77777777" w:rsidR="00AF7A6A" w:rsidRDefault="00AF7A6A" w:rsidP="00AF7A6A"/>
    <w:p w14:paraId="0CB5B543" w14:textId="77777777" w:rsidR="00AF7A6A" w:rsidRPr="00AF7A6A" w:rsidRDefault="00AF7A6A" w:rsidP="00AF7A6A">
      <w:r w:rsidRPr="00AF7A6A">
        <w:t>En application de ces textes, le juge de la mise en état dispose de toute liberté pour prescrire une mesure d’instruction.</w:t>
      </w:r>
    </w:p>
    <w:p w14:paraId="48902496" w14:textId="77777777" w:rsidR="00AF7A6A" w:rsidRDefault="00AF7A6A" w:rsidP="00AF7A6A"/>
    <w:p w14:paraId="31F78A81" w14:textId="77777777" w:rsidR="00AF7A6A" w:rsidRPr="00AF7A6A" w:rsidRDefault="00AF7A6A" w:rsidP="00AF7A6A">
      <w:r w:rsidRPr="00AF7A6A">
        <w:t>Dans la mesure où la loi ne pose aucune limite, les mesures prononcées peuvent être extrêmement variées pourvu qu’elles soient légalement admissibles.</w:t>
      </w:r>
    </w:p>
    <w:p w14:paraId="5CD8760B" w14:textId="77777777" w:rsidR="00AF7A6A" w:rsidRDefault="00AF7A6A" w:rsidP="00AF7A6A"/>
    <w:p w14:paraId="0089556D" w14:textId="77777777" w:rsidR="00AF7A6A" w:rsidRPr="00AF7A6A" w:rsidRDefault="00AF7A6A" w:rsidP="00AF7A6A">
      <w:r w:rsidRPr="00AF7A6A">
        <w:t>Ces mesures peuvent consister en :</w:t>
      </w:r>
    </w:p>
    <w:p w14:paraId="6602C8DF" w14:textId="77777777" w:rsidR="00AF7A6A" w:rsidRDefault="00AF7A6A" w:rsidP="00AF7A6A">
      <w:pPr>
        <w:pStyle w:val="Paragraphedeliste"/>
        <w:numPr>
          <w:ilvl w:val="0"/>
          <w:numId w:val="9"/>
        </w:numPr>
      </w:pPr>
      <w:r w:rsidRPr="00AF7A6A">
        <w:t>La désignation d’un expert</w:t>
      </w:r>
    </w:p>
    <w:p w14:paraId="7DC45C5E" w14:textId="77777777" w:rsidR="00AF7A6A" w:rsidRDefault="00AF7A6A" w:rsidP="00AF7A6A">
      <w:pPr>
        <w:pStyle w:val="Paragraphedeliste"/>
        <w:numPr>
          <w:ilvl w:val="0"/>
          <w:numId w:val="9"/>
        </w:numPr>
      </w:pPr>
      <w:r w:rsidRPr="00AF7A6A">
        <w:t>La désignation d’un huissier de justice</w:t>
      </w:r>
    </w:p>
    <w:p w14:paraId="640C3764" w14:textId="7118778F" w:rsidR="00AF7A6A" w:rsidRPr="00AF7A6A" w:rsidRDefault="00AF7A6A" w:rsidP="00AF7A6A">
      <w:pPr>
        <w:pStyle w:val="Paragraphedeliste"/>
        <w:numPr>
          <w:ilvl w:val="0"/>
          <w:numId w:val="9"/>
        </w:numPr>
      </w:pPr>
      <w:r w:rsidRPr="00AF7A6A">
        <w:t>La production forcée de pièces par une autre partie ou par un tiers</w:t>
      </w:r>
    </w:p>
    <w:p w14:paraId="77355EE2" w14:textId="77777777" w:rsidR="00AF7A6A" w:rsidRDefault="00AF7A6A" w:rsidP="00AF7A6A">
      <w:pPr>
        <w:rPr>
          <w:u w:val="single"/>
        </w:rPr>
      </w:pPr>
    </w:p>
    <w:p w14:paraId="758C55BB" w14:textId="4F9964C8" w:rsidR="00AF7A6A" w:rsidRPr="00AF7A6A" w:rsidRDefault="00AF7A6A" w:rsidP="00AF7A6A">
      <w:r w:rsidRPr="00AF7A6A">
        <w:rPr>
          <w:u w:val="single"/>
        </w:rPr>
        <w:t>L’article 147</w:t>
      </w:r>
      <w:r>
        <w:t xml:space="preserve"> </w:t>
      </w:r>
      <w:r w:rsidRPr="00AF7A6A">
        <w:t>du CPC l’autorise à conjuguer plusieurs mesures d’instruction.</w:t>
      </w:r>
      <w:r>
        <w:t xml:space="preserve"> </w:t>
      </w:r>
      <w:r w:rsidRPr="00AF7A6A">
        <w:t xml:space="preserve">Il peut ainsi, à tout moment et même en cours d’exécution, décider de joindre toute autre mesure nécessaire à </w:t>
      </w:r>
      <w:r w:rsidRPr="00AF7A6A">
        <w:lastRenderedPageBreak/>
        <w:t>celles qui ont déjà été ordonnées.</w:t>
      </w:r>
      <w:r>
        <w:t xml:space="preserve"> </w:t>
      </w:r>
      <w:r w:rsidRPr="00AF7A6A">
        <w:t>Le juge peut encore accroître ou restreindre l’étendue des mesures prescrites.</w:t>
      </w:r>
    </w:p>
    <w:p w14:paraId="6D0843EB" w14:textId="77777777" w:rsidR="00AF7A6A" w:rsidRDefault="00AF7A6A" w:rsidP="00AF7A6A"/>
    <w:p w14:paraId="23C1E15E" w14:textId="3D39EB6A" w:rsidR="00AF7A6A" w:rsidRPr="00AF7A6A" w:rsidRDefault="00AF7A6A" w:rsidP="00AF7A6A">
      <w:r w:rsidRPr="00AF7A6A">
        <w:t>Bien qu’il dispose de toute latitude pour presc</w:t>
      </w:r>
      <w:r>
        <w:t xml:space="preserve">rire des mesures d’instruction, </w:t>
      </w:r>
      <w:r w:rsidRPr="00AF7A6A">
        <w:rPr>
          <w:u w:val="single"/>
        </w:rPr>
        <w:t>l’article 147</w:t>
      </w:r>
      <w:r>
        <w:t xml:space="preserve"> </w:t>
      </w:r>
      <w:r w:rsidRPr="00AF7A6A">
        <w:t>du CPC intime au Juge de limiter le choix de la mesure à ce qui est suffisant pour la solution du litige, en s’attachant à retenir ce qui est le plus simple et le moins onéreux.</w:t>
      </w:r>
    </w:p>
    <w:p w14:paraId="0C905D8B" w14:textId="77777777" w:rsidR="00AF7A6A" w:rsidRPr="00AF7A6A" w:rsidRDefault="00AF7A6A" w:rsidP="00AD5096"/>
    <w:p w14:paraId="19615000" w14:textId="77777777" w:rsidR="00AF7A6A" w:rsidRDefault="00AF7A6A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11EA166B" w14:textId="4331A3AF" w:rsidR="003D3252" w:rsidRDefault="00472132" w:rsidP="00AD5096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</w:t>
      </w:r>
      <w:r w:rsidR="007D1C0F" w:rsidRPr="007D1C0F">
        <w:t xml:space="preserve">il est demandé au </w:t>
      </w:r>
      <w:r w:rsidR="007D1C0F">
        <w:t>Juge de la mise en état</w:t>
      </w:r>
      <w:r w:rsidR="007D1C0F" w:rsidRPr="007D1C0F">
        <w:t xml:space="preserve"> de nommer un expe</w:t>
      </w:r>
      <w:r w:rsidR="007D1C0F">
        <w:t xml:space="preserve">rt dont la mission consistera à </w:t>
      </w:r>
      <w:r w:rsidR="007D1C0F" w:rsidRPr="007D1C0F">
        <w:rPr>
          <w:i/>
          <w:iCs/>
        </w:rPr>
        <w:t>[préciser l’objet de la mission]</w:t>
      </w:r>
      <w:r w:rsidR="007D1C0F" w:rsidRPr="007D1C0F">
        <w:t>.</w:t>
      </w:r>
    </w:p>
    <w:p w14:paraId="66C539AE" w14:textId="77777777" w:rsidR="00C33C2C" w:rsidRDefault="00C33C2C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327AEDEE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</w:t>
      </w:r>
      <w:r w:rsidR="0089666C">
        <w:t xml:space="preserve"> et faire valoir ses droits</w:t>
      </w:r>
      <w:r>
        <w:t>, il est parfaitement fondé à solliciter la condamnation de [</w:t>
      </w:r>
      <w:r w:rsidRPr="00D571E4">
        <w:rPr>
          <w:b/>
          <w:i/>
        </w:rPr>
        <w:t>nom du défendeur</w:t>
      </w:r>
      <w:r w:rsidR="00AA0273">
        <w:t>] au</w:t>
      </w:r>
      <w:r>
        <w:t xml:space="preserve">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6CE78749" w14:textId="17E5D576" w:rsidR="00534179" w:rsidRDefault="00534179" w:rsidP="00290A87">
      <w:r>
        <w:t>Les pièces justificatives visées par le requérant sont énumérées dans le bordereau annexé aux présentes écritures.</w:t>
      </w:r>
    </w:p>
    <w:p w14:paraId="1AD6919A" w14:textId="673AD759" w:rsidR="004731E2" w:rsidRDefault="004731E2" w:rsidP="007B458A"/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0C411509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3A524D">
        <w:rPr>
          <w:i/>
        </w:rPr>
        <w:t>’</w:t>
      </w:r>
      <w:r w:rsidR="00337AB2">
        <w:rPr>
          <w:i/>
        </w:rPr>
        <w:t>article</w:t>
      </w:r>
      <w:r w:rsidR="00BC7491">
        <w:rPr>
          <w:i/>
        </w:rPr>
        <w:t xml:space="preserve"> </w:t>
      </w:r>
      <w:r w:rsidR="003A524D">
        <w:rPr>
          <w:i/>
        </w:rPr>
        <w:t>7</w:t>
      </w:r>
      <w:r w:rsidR="004B6E29">
        <w:rPr>
          <w:i/>
        </w:rPr>
        <w:t>89</w:t>
      </w:r>
      <w:r w:rsidR="00FD3843">
        <w:rPr>
          <w:i/>
        </w:rPr>
        <w:t>, 5°</w:t>
      </w:r>
      <w:r w:rsidR="003A524D">
        <w:rPr>
          <w:i/>
        </w:rPr>
        <w:t xml:space="preserve"> </w:t>
      </w:r>
      <w:r w:rsidR="00337AB2">
        <w:rPr>
          <w:i/>
        </w:rPr>
        <w:t>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2DF003FD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8A5F50">
        <w:t>judiciaire de</w:t>
      </w:r>
      <w:r w:rsidR="00EF75F5">
        <w:t xml:space="preserve">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A6153A"/>
    <w:p w14:paraId="4172E599" w14:textId="54A31CE5" w:rsidR="00BB175F" w:rsidRDefault="00BB175F" w:rsidP="00A6153A">
      <w:pPr>
        <w:pStyle w:val="Paragraphedeliste"/>
        <w:numPr>
          <w:ilvl w:val="0"/>
          <w:numId w:val="5"/>
        </w:numPr>
        <w:jc w:val="both"/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A6153A"/>
    <w:p w14:paraId="00C0ECD6" w14:textId="799FEE00" w:rsidR="00D80E96" w:rsidRPr="00705BD9" w:rsidRDefault="00D80E96" w:rsidP="00705BD9">
      <w:pPr>
        <w:pStyle w:val="Paragraphedeliste"/>
        <w:numPr>
          <w:ilvl w:val="0"/>
          <w:numId w:val="5"/>
        </w:numPr>
        <w:rPr>
          <w:bCs/>
        </w:rPr>
      </w:pPr>
      <w:r w:rsidRPr="00705BD9">
        <w:rPr>
          <w:b/>
          <w:bCs/>
        </w:rPr>
        <w:t>ORDONNER</w:t>
      </w:r>
      <w:r w:rsidRPr="00705BD9">
        <w:rPr>
          <w:bCs/>
        </w:rPr>
        <w:t xml:space="preserve"> une mesure d’expertise judiciaire</w:t>
      </w:r>
    </w:p>
    <w:p w14:paraId="62F2D6C5" w14:textId="77777777" w:rsidR="00D80E96" w:rsidRPr="00D80E96" w:rsidRDefault="00D80E96" w:rsidP="00D80E96">
      <w:pPr>
        <w:rPr>
          <w:bCs/>
        </w:rPr>
      </w:pPr>
    </w:p>
    <w:p w14:paraId="044A8737" w14:textId="4D1A9411" w:rsidR="00D80E96" w:rsidRPr="00705BD9" w:rsidRDefault="00D80E96" w:rsidP="00705BD9">
      <w:pPr>
        <w:pStyle w:val="Paragraphedeliste"/>
        <w:numPr>
          <w:ilvl w:val="0"/>
          <w:numId w:val="5"/>
        </w:numPr>
        <w:rPr>
          <w:bCs/>
        </w:rPr>
      </w:pPr>
      <w:r w:rsidRPr="00705BD9">
        <w:rPr>
          <w:b/>
          <w:bCs/>
        </w:rPr>
        <w:t>NOMMER</w:t>
      </w:r>
      <w:r w:rsidRPr="00705BD9">
        <w:rPr>
          <w:bCs/>
        </w:rPr>
        <w:t xml:space="preserve"> tel expert qu’il lui plaira aux fins de </w:t>
      </w:r>
      <w:r w:rsidRPr="00705BD9">
        <w:rPr>
          <w:bCs/>
          <w:i/>
          <w:iCs/>
        </w:rPr>
        <w:t>[préciser l’objet de la mission]</w:t>
      </w:r>
    </w:p>
    <w:p w14:paraId="6A4AE206" w14:textId="77777777" w:rsidR="00D80E96" w:rsidRPr="00D80E96" w:rsidRDefault="00D80E96" w:rsidP="00D80E96">
      <w:pPr>
        <w:rPr>
          <w:bCs/>
        </w:rPr>
      </w:pPr>
    </w:p>
    <w:p w14:paraId="3A3208AC" w14:textId="3C167D34" w:rsidR="00D80E96" w:rsidRPr="00705BD9" w:rsidRDefault="00D80E96" w:rsidP="00705BD9">
      <w:pPr>
        <w:pStyle w:val="Paragraphedeliste"/>
        <w:numPr>
          <w:ilvl w:val="0"/>
          <w:numId w:val="5"/>
        </w:numPr>
        <w:rPr>
          <w:bCs/>
        </w:rPr>
      </w:pPr>
      <w:r w:rsidRPr="00705BD9">
        <w:rPr>
          <w:b/>
          <w:bCs/>
        </w:rPr>
        <w:t>FIXER</w:t>
      </w:r>
      <w:r w:rsidRPr="00705BD9">
        <w:rPr>
          <w:bCs/>
        </w:rPr>
        <w:t xml:space="preserve"> la durée de la mission à </w:t>
      </w:r>
      <w:r w:rsidRPr="00705BD9">
        <w:rPr>
          <w:bCs/>
          <w:i/>
          <w:iCs/>
        </w:rPr>
        <w:t>[préciser la durée si besoin]</w:t>
      </w:r>
    </w:p>
    <w:p w14:paraId="1926384F" w14:textId="77777777" w:rsidR="00D80E96" w:rsidRPr="00D80E96" w:rsidRDefault="00D80E96" w:rsidP="00D80E96">
      <w:pPr>
        <w:rPr>
          <w:bCs/>
        </w:rPr>
      </w:pPr>
    </w:p>
    <w:p w14:paraId="2C837C99" w14:textId="61C508DD" w:rsidR="00D80E96" w:rsidRPr="00705BD9" w:rsidRDefault="00D80E96" w:rsidP="00705BD9">
      <w:pPr>
        <w:pStyle w:val="Paragraphedeliste"/>
        <w:numPr>
          <w:ilvl w:val="0"/>
          <w:numId w:val="5"/>
        </w:numPr>
        <w:rPr>
          <w:bCs/>
        </w:rPr>
      </w:pPr>
      <w:r w:rsidRPr="00705BD9">
        <w:rPr>
          <w:b/>
          <w:bCs/>
        </w:rPr>
        <w:t>DIRE</w:t>
      </w:r>
      <w:r w:rsidRPr="00705BD9">
        <w:rPr>
          <w:bCs/>
        </w:rPr>
        <w:t xml:space="preserve"> que l’expert accomplira sa mission conformément aux dispositions des articles 273 et suivants du Code de procédure civile, en particulier, il pourra recueillir les </w:t>
      </w:r>
      <w:r w:rsidRPr="00705BD9">
        <w:rPr>
          <w:bCs/>
        </w:rPr>
        <w:lastRenderedPageBreak/>
        <w:t>déclarations de toute personne informée et s’adjoindre tout spécialiste de son choix pris sur la liste des experts établies près ce Tribunal</w:t>
      </w:r>
    </w:p>
    <w:p w14:paraId="57A1876C" w14:textId="77777777" w:rsidR="00D80E96" w:rsidRPr="00D80E96" w:rsidRDefault="00D80E96" w:rsidP="00D80E96">
      <w:pPr>
        <w:rPr>
          <w:bCs/>
        </w:rPr>
      </w:pPr>
    </w:p>
    <w:p w14:paraId="0F5561B4" w14:textId="06F99AA3" w:rsidR="00D80E96" w:rsidRPr="00705BD9" w:rsidRDefault="00D80E96" w:rsidP="00705BD9">
      <w:pPr>
        <w:pStyle w:val="Paragraphedeliste"/>
        <w:numPr>
          <w:ilvl w:val="0"/>
          <w:numId w:val="5"/>
        </w:numPr>
        <w:rPr>
          <w:bCs/>
        </w:rPr>
      </w:pPr>
      <w:r w:rsidRPr="00705BD9">
        <w:rPr>
          <w:b/>
          <w:bCs/>
        </w:rPr>
        <w:t>DIRE</w:t>
      </w:r>
      <w:r w:rsidRPr="00705BD9">
        <w:rPr>
          <w:bCs/>
        </w:rPr>
        <w:t xml:space="preserve"> qu’en cas de difficulté, l’expert s’en réfèrera au Président qui aura ordonné l’expertise ou le juge désigné par lui</w:t>
      </w:r>
    </w:p>
    <w:p w14:paraId="68233FEB" w14:textId="77777777" w:rsidR="00D80E96" w:rsidRPr="00D80E96" w:rsidRDefault="00D80E96" w:rsidP="00D80E96">
      <w:pPr>
        <w:rPr>
          <w:bCs/>
        </w:rPr>
      </w:pPr>
    </w:p>
    <w:p w14:paraId="4FA29116" w14:textId="10120C20" w:rsidR="00D80E96" w:rsidRPr="00705BD9" w:rsidRDefault="00D80E96" w:rsidP="00705BD9">
      <w:pPr>
        <w:pStyle w:val="Paragraphedeliste"/>
        <w:numPr>
          <w:ilvl w:val="0"/>
          <w:numId w:val="5"/>
        </w:numPr>
        <w:rPr>
          <w:bCs/>
        </w:rPr>
      </w:pPr>
      <w:r w:rsidRPr="00705BD9">
        <w:rPr>
          <w:b/>
          <w:bCs/>
        </w:rPr>
        <w:t>DIRE</w:t>
      </w:r>
      <w:r w:rsidRPr="00705BD9">
        <w:rPr>
          <w:bCs/>
        </w:rPr>
        <w:t xml:space="preserve"> que l’expert devra déposer son pré-rapport dans un délai de </w:t>
      </w:r>
      <w:r w:rsidRPr="00705BD9">
        <w:rPr>
          <w:bCs/>
          <w:i/>
          <w:iCs/>
        </w:rPr>
        <w:t>[préciser la durée]</w:t>
      </w:r>
      <w:r w:rsidRPr="00705BD9">
        <w:rPr>
          <w:bCs/>
        </w:rPr>
        <w:t xml:space="preserve"> à compter de la consignation de la provision à valoir sur ses honoraires, et qu’il devra le notifier aux parties préalablement au dépôt de son rapport définitif</w:t>
      </w:r>
    </w:p>
    <w:p w14:paraId="692F228E" w14:textId="77777777" w:rsidR="00D80E96" w:rsidRPr="00D80E96" w:rsidRDefault="00D80E96" w:rsidP="00D80E96">
      <w:pPr>
        <w:rPr>
          <w:bCs/>
        </w:rPr>
      </w:pPr>
    </w:p>
    <w:p w14:paraId="2AA4EA6F" w14:textId="0770DF3A" w:rsidR="00D80E96" w:rsidRPr="00705BD9" w:rsidRDefault="00D80E96" w:rsidP="00705BD9">
      <w:pPr>
        <w:pStyle w:val="Paragraphedeliste"/>
        <w:numPr>
          <w:ilvl w:val="0"/>
          <w:numId w:val="5"/>
        </w:numPr>
        <w:rPr>
          <w:bCs/>
        </w:rPr>
      </w:pPr>
      <w:r w:rsidRPr="00705BD9">
        <w:rPr>
          <w:b/>
          <w:bCs/>
        </w:rPr>
        <w:t xml:space="preserve">FIXER </w:t>
      </w:r>
      <w:r w:rsidRPr="00705BD9">
        <w:rPr>
          <w:bCs/>
        </w:rPr>
        <w:t>la provision à consigner au Greffe, à titre d’avance sur les honoraires de l’expert, dans le délai qui sera imparti par la décision à intervenir ;</w:t>
      </w:r>
    </w:p>
    <w:p w14:paraId="7516C073" w14:textId="77777777" w:rsidR="00D80E96" w:rsidRDefault="00D80E96" w:rsidP="00A6153A"/>
    <w:p w14:paraId="25C738C2" w14:textId="7A786CA3" w:rsidR="00BE7B86" w:rsidRDefault="00BE7B86" w:rsidP="00705BD9">
      <w:pPr>
        <w:pStyle w:val="Paragraphedeliste"/>
        <w:numPr>
          <w:ilvl w:val="0"/>
          <w:numId w:val="5"/>
        </w:numPr>
      </w:pPr>
      <w:r w:rsidRPr="00705BD9">
        <w:rPr>
          <w:b/>
        </w:rPr>
        <w:t>CONDAMNER</w:t>
      </w:r>
      <w:r>
        <w:t xml:space="preserve"> </w:t>
      </w:r>
      <w:r w:rsidR="00210AB0" w:rsidRPr="00705BD9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705BD9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A6153A"/>
    <w:p w14:paraId="7BF83546" w14:textId="34A3972D" w:rsidR="001C4486" w:rsidRDefault="001C4486" w:rsidP="00705BD9">
      <w:pPr>
        <w:pStyle w:val="Paragraphedeliste"/>
        <w:numPr>
          <w:ilvl w:val="0"/>
          <w:numId w:val="5"/>
        </w:numPr>
      </w:pPr>
      <w:r w:rsidRPr="00705BD9">
        <w:rPr>
          <w:b/>
        </w:rPr>
        <w:t>CONDAMNER</w:t>
      </w:r>
      <w:r>
        <w:t xml:space="preserve"> </w:t>
      </w:r>
      <w:r w:rsidRPr="00705BD9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05BD9">
        <w:rPr>
          <w:i/>
        </w:rPr>
        <w:t>[identité de l’avocat concerné]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36B868C" w14:textId="77777777" w:rsidR="00EF75F5" w:rsidRDefault="00EF75F5" w:rsidP="007B458A"/>
    <w:p w14:paraId="5F1585D8" w14:textId="77777777" w:rsidR="00EF75F5" w:rsidRDefault="00EF75F5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4574C" w14:textId="77777777" w:rsidR="00D4694B" w:rsidRDefault="00D4694B">
      <w:r>
        <w:separator/>
      </w:r>
    </w:p>
  </w:endnote>
  <w:endnote w:type="continuationSeparator" w:id="0">
    <w:p w14:paraId="17DCFCD9" w14:textId="77777777" w:rsidR="00D4694B" w:rsidRDefault="00D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A34502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34502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653E" w14:textId="77777777" w:rsidR="00D4694B" w:rsidRDefault="00D4694B">
      <w:r>
        <w:separator/>
      </w:r>
    </w:p>
  </w:footnote>
  <w:footnote w:type="continuationSeparator" w:id="0">
    <w:p w14:paraId="12ED7134" w14:textId="77777777" w:rsidR="00D4694B" w:rsidRDefault="00D4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2DC9"/>
    <w:multiLevelType w:val="multilevel"/>
    <w:tmpl w:val="8D0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12AE7"/>
    <w:multiLevelType w:val="multilevel"/>
    <w:tmpl w:val="4C18B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A242A"/>
    <w:multiLevelType w:val="multilevel"/>
    <w:tmpl w:val="4BEC2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60D59"/>
    <w:multiLevelType w:val="multilevel"/>
    <w:tmpl w:val="773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7163"/>
    <w:multiLevelType w:val="multilevel"/>
    <w:tmpl w:val="724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20"/>
  </w:num>
  <w:num w:numId="8">
    <w:abstractNumId w:val="5"/>
  </w:num>
  <w:num w:numId="9">
    <w:abstractNumId w:val="15"/>
  </w:num>
  <w:num w:numId="10">
    <w:abstractNumId w:val="17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1"/>
  </w:num>
  <w:num w:numId="17">
    <w:abstractNumId w:val="13"/>
  </w:num>
  <w:num w:numId="18">
    <w:abstractNumId w:val="12"/>
  </w:num>
  <w:num w:numId="19">
    <w:abstractNumId w:val="18"/>
  </w:num>
  <w:num w:numId="20">
    <w:abstractNumId w:val="16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09AF"/>
    <w:rsid w:val="0001143C"/>
    <w:rsid w:val="0001715E"/>
    <w:rsid w:val="00034159"/>
    <w:rsid w:val="0003459C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1127"/>
    <w:rsid w:val="001174B9"/>
    <w:rsid w:val="00121897"/>
    <w:rsid w:val="0013786E"/>
    <w:rsid w:val="00152CDA"/>
    <w:rsid w:val="00160593"/>
    <w:rsid w:val="00172709"/>
    <w:rsid w:val="001B6B80"/>
    <w:rsid w:val="001C14D2"/>
    <w:rsid w:val="001C2515"/>
    <w:rsid w:val="001C4486"/>
    <w:rsid w:val="001D3C22"/>
    <w:rsid w:val="001D433B"/>
    <w:rsid w:val="001D4A9A"/>
    <w:rsid w:val="001E1B19"/>
    <w:rsid w:val="001E38D5"/>
    <w:rsid w:val="001E5817"/>
    <w:rsid w:val="001F0ACC"/>
    <w:rsid w:val="001F5E7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6B84"/>
    <w:rsid w:val="002618B3"/>
    <w:rsid w:val="00263BC7"/>
    <w:rsid w:val="00264EF2"/>
    <w:rsid w:val="00265BC3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2F736D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0D31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524D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6E29"/>
    <w:rsid w:val="004B75CB"/>
    <w:rsid w:val="004D67C6"/>
    <w:rsid w:val="004E0FB5"/>
    <w:rsid w:val="004F1F6F"/>
    <w:rsid w:val="004F6BA4"/>
    <w:rsid w:val="0050038A"/>
    <w:rsid w:val="0050190D"/>
    <w:rsid w:val="00504E16"/>
    <w:rsid w:val="00506D40"/>
    <w:rsid w:val="005111D5"/>
    <w:rsid w:val="00521B09"/>
    <w:rsid w:val="00522BA3"/>
    <w:rsid w:val="00527223"/>
    <w:rsid w:val="00527D75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17CA8"/>
    <w:rsid w:val="00625D73"/>
    <w:rsid w:val="00640990"/>
    <w:rsid w:val="0064113A"/>
    <w:rsid w:val="00653B7B"/>
    <w:rsid w:val="00655758"/>
    <w:rsid w:val="00661232"/>
    <w:rsid w:val="00672011"/>
    <w:rsid w:val="00672B3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05BD9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7D1C0F"/>
    <w:rsid w:val="007F6816"/>
    <w:rsid w:val="00801C69"/>
    <w:rsid w:val="00814019"/>
    <w:rsid w:val="00814429"/>
    <w:rsid w:val="008163D2"/>
    <w:rsid w:val="00817314"/>
    <w:rsid w:val="00823261"/>
    <w:rsid w:val="00825A6E"/>
    <w:rsid w:val="00826A42"/>
    <w:rsid w:val="00832AA1"/>
    <w:rsid w:val="00837981"/>
    <w:rsid w:val="008462BF"/>
    <w:rsid w:val="00865B99"/>
    <w:rsid w:val="00866BDF"/>
    <w:rsid w:val="00873481"/>
    <w:rsid w:val="00887430"/>
    <w:rsid w:val="00894641"/>
    <w:rsid w:val="0089666C"/>
    <w:rsid w:val="008A5F50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A59A6"/>
    <w:rsid w:val="009B0B15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255AC"/>
    <w:rsid w:val="00A34502"/>
    <w:rsid w:val="00A36FDE"/>
    <w:rsid w:val="00A46A10"/>
    <w:rsid w:val="00A46B0E"/>
    <w:rsid w:val="00A46D57"/>
    <w:rsid w:val="00A51BDF"/>
    <w:rsid w:val="00A60ABA"/>
    <w:rsid w:val="00A6153A"/>
    <w:rsid w:val="00A7544C"/>
    <w:rsid w:val="00A81D1B"/>
    <w:rsid w:val="00A85565"/>
    <w:rsid w:val="00A86739"/>
    <w:rsid w:val="00AA0273"/>
    <w:rsid w:val="00AD4311"/>
    <w:rsid w:val="00AD5096"/>
    <w:rsid w:val="00AD7AD7"/>
    <w:rsid w:val="00AE1446"/>
    <w:rsid w:val="00AE57C2"/>
    <w:rsid w:val="00AF0331"/>
    <w:rsid w:val="00AF47BE"/>
    <w:rsid w:val="00AF7A6A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600"/>
    <w:rsid w:val="00B47F87"/>
    <w:rsid w:val="00B603B8"/>
    <w:rsid w:val="00B60A6E"/>
    <w:rsid w:val="00B62DF9"/>
    <w:rsid w:val="00B80887"/>
    <w:rsid w:val="00B8687C"/>
    <w:rsid w:val="00B910A9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3C2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86810"/>
    <w:rsid w:val="00C904B7"/>
    <w:rsid w:val="00C922E7"/>
    <w:rsid w:val="00C94D6C"/>
    <w:rsid w:val="00CA1BEA"/>
    <w:rsid w:val="00CA495E"/>
    <w:rsid w:val="00CA78BD"/>
    <w:rsid w:val="00CB1D1E"/>
    <w:rsid w:val="00CB2754"/>
    <w:rsid w:val="00CB2D98"/>
    <w:rsid w:val="00CB2F71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078CC"/>
    <w:rsid w:val="00D13484"/>
    <w:rsid w:val="00D13A23"/>
    <w:rsid w:val="00D3314E"/>
    <w:rsid w:val="00D35C0F"/>
    <w:rsid w:val="00D35F86"/>
    <w:rsid w:val="00D42BD4"/>
    <w:rsid w:val="00D438A1"/>
    <w:rsid w:val="00D43986"/>
    <w:rsid w:val="00D4694B"/>
    <w:rsid w:val="00D550E6"/>
    <w:rsid w:val="00D56CF6"/>
    <w:rsid w:val="00D56E9B"/>
    <w:rsid w:val="00D571E4"/>
    <w:rsid w:val="00D80E96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547D3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D3843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42E9085D-FE42-4CC1-BDF0-D18B16E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2020-09-29T18:40:00Z</dcterms:created>
  <dcterms:modified xsi:type="dcterms:W3CDTF">2020-09-29T18:40:00Z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1662466722</vt:i4>
  </property>
  <property fmtid="{D5CDD505-2E9C-101B-9397-08002B2CF9AE}" pid="3" name="_NewReviewCycle">
    <vt:lpwstr/>
  </property>
  <property fmtid="{D5CDD505-2E9C-101B-9397-08002B2CF9AE}" pid="4" name="_EmailSubject">
    <vt:lpwstr>Concl.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1438920216</vt:i4>
  </property>
  <property fmtid="{D5CDD505-2E9C-101B-9397-08002B2CF9AE}" pid="8" name="_ReviewingToolsShownOnce">
    <vt:lpwstr/>
  </property>
</Properties>
</file>