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CE71"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318A8EE"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2415912C"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GRANDE INSTANCE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 xml:space="preserve">Article </w:t>
      </w:r>
      <w:r w:rsidR="004514C4">
        <w:rPr>
          <w:b/>
          <w:i/>
          <w:sz w:val="28"/>
          <w:szCs w:val="28"/>
        </w:rPr>
        <w:t>145</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5902635C"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77777777" w:rsidR="006678BE" w:rsidRDefault="006678BE" w:rsidP="006678BE">
      <w:r w:rsidRPr="00C640F3">
        <w:rPr>
          <w:b/>
          <w:u w:val="single"/>
        </w:rPr>
        <w:t>Ayant pour avocat</w:t>
      </w:r>
      <w:r>
        <w:rPr>
          <w:b/>
          <w:u w:val="single"/>
        </w:rPr>
        <w:t xml:space="preserve"> constitué</w:t>
      </w:r>
      <w:r>
        <w:t xml:space="preserve">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214E955" w14:textId="77777777" w:rsidR="006678BE" w:rsidRDefault="006678BE" w:rsidP="006678BE"/>
    <w:p w14:paraId="77480445" w14:textId="77777777" w:rsidR="006678BE" w:rsidRDefault="006678BE" w:rsidP="006678BE"/>
    <w:p w14:paraId="20D8B339"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34604855" w14:textId="77777777" w:rsidR="006678BE" w:rsidRDefault="006678BE" w:rsidP="006678BE"/>
    <w:p w14:paraId="6CC3A850" w14:textId="77777777" w:rsidR="006678BE" w:rsidRDefault="006678BE" w:rsidP="006678BE">
      <w:r w:rsidRPr="00C640F3">
        <w:rPr>
          <w:b/>
          <w:u w:val="single"/>
        </w:rPr>
        <w:t>Ayant pour avocat plaidant</w:t>
      </w:r>
      <w:r>
        <w:t> :</w:t>
      </w:r>
    </w:p>
    <w:p w14:paraId="291CF130" w14:textId="77777777" w:rsidR="006678BE" w:rsidRDefault="006678BE" w:rsidP="006678BE"/>
    <w:p w14:paraId="565D761C"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A88E870" w14:textId="77777777" w:rsidR="006678BE" w:rsidRDefault="006678BE" w:rsidP="006678BE"/>
    <w:p w14:paraId="5149E97A" w14:textId="77777777" w:rsidR="0060231A" w:rsidRDefault="0060231A" w:rsidP="006678BE"/>
    <w:p w14:paraId="1B8ED087"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50E29166" w14:textId="604B2F8F" w:rsidR="00EE1873" w:rsidRDefault="00EE1873" w:rsidP="00EE1873"/>
    <w:p w14:paraId="3F6C6594" w14:textId="5DCEC759" w:rsidR="002B0963" w:rsidRPr="002B0963" w:rsidRDefault="002B0963" w:rsidP="00EE1873">
      <w:pPr>
        <w:rPr>
          <w:b/>
          <w:bCs/>
        </w:rPr>
      </w:pPr>
      <w:bookmarkStart w:id="0" w:name="_GoBack"/>
      <w:r w:rsidRPr="002B0963">
        <w:rPr>
          <w:b/>
          <w:bCs/>
          <w:u w:val="single"/>
        </w:rPr>
        <w:t>Ayant pour représentant</w:t>
      </w:r>
      <w:r w:rsidRPr="002B0963">
        <w:rPr>
          <w:b/>
          <w:bCs/>
        </w:rPr>
        <w:t> </w:t>
      </w:r>
      <w:bookmarkEnd w:id="0"/>
      <w:r w:rsidRPr="002B0963">
        <w:rPr>
          <w:b/>
          <w:bCs/>
        </w:rPr>
        <w:t xml:space="preserve">: </w:t>
      </w:r>
    </w:p>
    <w:p w14:paraId="574087BB" w14:textId="77777777" w:rsidR="002B0963" w:rsidRDefault="002B0963" w:rsidP="00EE1873"/>
    <w:p w14:paraId="1EF0E567"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1A9D50C0" w14:textId="77777777" w:rsidR="002072FF" w:rsidRDefault="002072FF" w:rsidP="002072FF"/>
    <w:p w14:paraId="202F8F4C" w14:textId="77777777" w:rsidR="004C17BE" w:rsidRDefault="002072FF" w:rsidP="003560F5">
      <w:r>
        <w:rPr>
          <w:rFonts w:cs="Times New Roman"/>
        </w:rPr>
        <w:lastRenderedPageBreak/>
        <w:t>À</w:t>
      </w:r>
      <w:r>
        <w:t xml:space="preserve"> l’étude de laquelle </w:t>
      </w:r>
      <w:r w:rsidRPr="00D16A3F">
        <w:t>i</w:t>
      </w:r>
      <w:r>
        <w:t>l est fait élection de domicile.</w:t>
      </w:r>
    </w:p>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79EBC31E"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4A95B6B" w14:textId="77777777" w:rsidR="00BD3368" w:rsidRDefault="00BD3368" w:rsidP="00BD3368"/>
    <w:p w14:paraId="50250C16"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384D7744" w14:textId="77777777" w:rsidR="00325E99" w:rsidRDefault="00325E99" w:rsidP="00325E99">
      <w:pPr>
        <w:jc w:val="both"/>
      </w:pPr>
    </w:p>
    <w:p w14:paraId="0EE54C4A" w14:textId="77777777" w:rsidR="00561018" w:rsidRPr="00984099" w:rsidRDefault="00984099" w:rsidP="00984099">
      <w:pPr>
        <w:jc w:val="both"/>
        <w:rPr>
          <w:b/>
          <w:u w:val="single"/>
        </w:rPr>
      </w:pPr>
      <w:r w:rsidRPr="00984099">
        <w:rPr>
          <w:b/>
        </w:rPr>
        <w:sym w:font="Wingdings" w:char="F0E8"/>
      </w:r>
      <w:r w:rsidR="00C72C12" w:rsidRPr="00984099">
        <w:rPr>
          <w:b/>
          <w:u w:val="single"/>
        </w:rPr>
        <w:t>En droit</w:t>
      </w:r>
    </w:p>
    <w:p w14:paraId="0DAC6B88" w14:textId="77777777" w:rsidR="00325E99" w:rsidRDefault="00325E99" w:rsidP="00325E99">
      <w:pPr>
        <w:jc w:val="both"/>
      </w:pPr>
    </w:p>
    <w:p w14:paraId="2AA6002C" w14:textId="77777777" w:rsidR="00984099" w:rsidRDefault="00984099" w:rsidP="00984099">
      <w:pPr>
        <w:jc w:val="both"/>
      </w:pPr>
      <w:r w:rsidRPr="00984099">
        <w:rPr>
          <w:u w:val="single"/>
        </w:rPr>
        <w:t>L’article 145</w:t>
      </w:r>
      <w:r w:rsidR="00F5461B">
        <w:t xml:space="preserve"> </w:t>
      </w:r>
      <w:r w:rsidRPr="00984099">
        <w:t>du Code de procédure civile prévoit que « </w:t>
      </w:r>
      <w:r w:rsidRPr="00984099">
        <w:rPr>
          <w:i/>
          <w:iCs/>
        </w:rPr>
        <w:t>s’il existe un motif légitime de conserver ou d’établir avant tout procès la preuve de faits dont pourrait dépendre la solution d’un litige, les mesures d’instruction légalement admissibles peuvent être ordonnées à la demande de tout intéressé, sur requête ou en référé.</w:t>
      </w:r>
      <w:r w:rsidRPr="00984099">
        <w:t> »</w:t>
      </w:r>
    </w:p>
    <w:p w14:paraId="3D616190" w14:textId="77777777" w:rsidR="00984099" w:rsidRPr="00984099" w:rsidRDefault="00984099" w:rsidP="00984099">
      <w:pPr>
        <w:jc w:val="both"/>
      </w:pPr>
    </w:p>
    <w:p w14:paraId="5BE8B963" w14:textId="77777777" w:rsidR="00984099" w:rsidRDefault="00984099" w:rsidP="00984099">
      <w:pPr>
        <w:jc w:val="both"/>
      </w:pPr>
      <w:r w:rsidRPr="00984099">
        <w:t>De toute évidence, cette disposition présente la particularité de permette la saisine du juge aux fins d’obtenir une mesure d’instruction avant tout procès, soit par voie de référé, soit par voie de requête.</w:t>
      </w:r>
    </w:p>
    <w:p w14:paraId="0A1CF046" w14:textId="77777777" w:rsidR="00984099" w:rsidRPr="00984099" w:rsidRDefault="00984099" w:rsidP="00984099">
      <w:pPr>
        <w:jc w:val="both"/>
      </w:pPr>
    </w:p>
    <w:p w14:paraId="133A50B9" w14:textId="77777777" w:rsidR="00984099" w:rsidRDefault="00984099" w:rsidP="00984099">
      <w:pPr>
        <w:jc w:val="both"/>
      </w:pPr>
      <w:r w:rsidRPr="00984099">
        <w:t>Est-ce à dire que la partie cherchant à se préconstituer une preuve avant tout procès dispose d’une option procédurale ?</w:t>
      </w:r>
    </w:p>
    <w:p w14:paraId="3F3791E3" w14:textId="77777777" w:rsidR="00984099" w:rsidRPr="00984099" w:rsidRDefault="00984099" w:rsidP="00984099">
      <w:pPr>
        <w:jc w:val="both"/>
      </w:pPr>
    </w:p>
    <w:p w14:paraId="51E492A5" w14:textId="77777777" w:rsidR="00984099" w:rsidRDefault="00F5461B" w:rsidP="00984099">
      <w:pPr>
        <w:jc w:val="both"/>
      </w:pPr>
      <w:r>
        <w:t xml:space="preserve">L’analyse de la combinaison des </w:t>
      </w:r>
      <w:r w:rsidR="00984099" w:rsidRPr="00984099">
        <w:rPr>
          <w:u w:val="single"/>
        </w:rPr>
        <w:t>articles 145</w:t>
      </w:r>
      <w:r>
        <w:t xml:space="preserve"> et </w:t>
      </w:r>
      <w:r w:rsidR="00984099" w:rsidRPr="00984099">
        <w:rPr>
          <w:u w:val="single"/>
        </w:rPr>
        <w:t>812</w:t>
      </w:r>
      <w:r>
        <w:t xml:space="preserve"> </w:t>
      </w:r>
      <w:r w:rsidR="00984099" w:rsidRPr="00984099">
        <w:t>du Code de procédure civile révèle qu’il n’en n’est rien.</w:t>
      </w:r>
    </w:p>
    <w:p w14:paraId="48DAB455" w14:textId="77777777" w:rsidR="00984099" w:rsidRPr="00984099" w:rsidRDefault="00984099" w:rsidP="00984099">
      <w:pPr>
        <w:jc w:val="both"/>
      </w:pPr>
    </w:p>
    <w:p w14:paraId="09450C68" w14:textId="77777777" w:rsidR="00984099" w:rsidRDefault="00984099" w:rsidP="00984099">
      <w:pPr>
        <w:jc w:val="both"/>
      </w:pPr>
      <w:r w:rsidRPr="00984099">
        <w:t>Régulièrement, la Cour de cassation rappelle, en effet, qu’il ne peut être recouru à la procédure sur requête qu’à la condition que des circonstances particulières l’exigent. Autrement dit, la voie du référé doit être insuffisante, à tout le moins inappropriée, pour obtenir le résultat recherché.</w:t>
      </w:r>
    </w:p>
    <w:p w14:paraId="38F997FF" w14:textId="77777777" w:rsidR="00984099" w:rsidRPr="00984099" w:rsidRDefault="00984099" w:rsidP="00984099">
      <w:pPr>
        <w:jc w:val="both"/>
      </w:pPr>
    </w:p>
    <w:p w14:paraId="5A48DD8A" w14:textId="77777777" w:rsidR="00984099" w:rsidRDefault="00984099" w:rsidP="00984099">
      <w:pPr>
        <w:jc w:val="both"/>
      </w:pPr>
      <w:r w:rsidRPr="00984099">
        <w:t>Cette hiérarchisation des procédures qui place la procédure sur requête sous le signe de la subsidiarité procède de la volonté du législateur de n’admettre une dérogation au principe du contradictoire que dans des situations très exceptionnelles. D’où l’obligation pour les parties d’envisager, en première intention, la procédure de référé, la procédure sur requête ne pouvant intervenir que dans l’hypothèse où il n’existe pas d’autre alternative.</w:t>
      </w:r>
    </w:p>
    <w:p w14:paraId="3867D10C" w14:textId="77777777" w:rsidR="00984099" w:rsidRPr="00984099" w:rsidRDefault="00984099" w:rsidP="00984099">
      <w:pPr>
        <w:jc w:val="both"/>
      </w:pPr>
    </w:p>
    <w:p w14:paraId="01CB9201" w14:textId="77777777" w:rsidR="00984099" w:rsidRDefault="00984099" w:rsidP="00984099">
      <w:pPr>
        <w:jc w:val="both"/>
      </w:pPr>
      <w:r w:rsidRPr="00984099">
        <w:t>Dans un arrêt du 29 janvier 2002, la Cour de cassation avait ainsi reproché à une Cour d’appel de n’avoir pas recherché « </w:t>
      </w:r>
      <w:r w:rsidRPr="00984099">
        <w:rPr>
          <w:i/>
          <w:iCs/>
        </w:rPr>
        <w:t>si la mesure sollicitée exigeait une dérogation au principe de la contradiction</w:t>
      </w:r>
      <w:r w:rsidRPr="00984099">
        <w:t> » (</w:t>
      </w:r>
      <w:r w:rsidRPr="00984099">
        <w:rPr>
          <w:i/>
          <w:iCs/>
          <w:u w:val="single"/>
        </w:rPr>
        <w:t>Cass. com., 29 janv. 2002, n° 00-11134</w:t>
      </w:r>
      <w:r w:rsidRPr="00984099">
        <w:t>).</w:t>
      </w:r>
    </w:p>
    <w:p w14:paraId="79ACDF44" w14:textId="77777777" w:rsidR="00984099" w:rsidRDefault="00984099" w:rsidP="00984099">
      <w:pPr>
        <w:jc w:val="both"/>
      </w:pPr>
    </w:p>
    <w:p w14:paraId="77FE28AA" w14:textId="77777777" w:rsidR="00984099" w:rsidRDefault="00984099" w:rsidP="00984099">
      <w:pPr>
        <w:jc w:val="both"/>
      </w:pPr>
      <w:r>
        <w:t xml:space="preserve">Les conditions de </w:t>
      </w:r>
      <w:r w:rsidRPr="00984099">
        <w:rPr>
          <w:u w:val="single"/>
        </w:rPr>
        <w:t>l’article 812, al. 2</w:t>
      </w:r>
      <w:r w:rsidRPr="00984099">
        <w:rPr>
          <w:u w:val="single"/>
          <w:vertAlign w:val="superscript"/>
        </w:rPr>
        <w:t>e</w:t>
      </w:r>
      <w:r>
        <w:t xml:space="preserve"> doivent ainsi être réunies, ce qui implique :</w:t>
      </w:r>
    </w:p>
    <w:p w14:paraId="6C6B075A" w14:textId="77777777" w:rsidR="00984099" w:rsidRDefault="00984099" w:rsidP="00984099">
      <w:pPr>
        <w:jc w:val="both"/>
      </w:pPr>
    </w:p>
    <w:p w14:paraId="610602CD" w14:textId="77777777" w:rsidR="00984099" w:rsidRDefault="00984099" w:rsidP="00984099">
      <w:pPr>
        <w:pStyle w:val="Paragraphedeliste"/>
        <w:numPr>
          <w:ilvl w:val="0"/>
          <w:numId w:val="13"/>
        </w:numPr>
        <w:jc w:val="both"/>
      </w:pPr>
      <w:r w:rsidRPr="00984099">
        <w:rPr>
          <w:b/>
          <w:i/>
        </w:rPr>
        <w:t>D’une part</w:t>
      </w:r>
      <w:r>
        <w:t>, que des circonstances qui exigent que des mesures ne soient pas prises contradictoirement</w:t>
      </w:r>
    </w:p>
    <w:p w14:paraId="3EA65D19" w14:textId="77777777" w:rsidR="00984099" w:rsidRDefault="00984099" w:rsidP="00984099">
      <w:pPr>
        <w:pStyle w:val="Paragraphedeliste"/>
        <w:numPr>
          <w:ilvl w:val="1"/>
          <w:numId w:val="13"/>
        </w:numPr>
        <w:jc w:val="both"/>
      </w:pPr>
      <w:r>
        <w:t>Ces circonstances sont notamment caractérisées dans l’hypothèse où il y a lieu de procurer au requérant un effet de surprise, effet sans lequel l’intérêt de la mesure serait vidé de sa substance.</w:t>
      </w:r>
    </w:p>
    <w:p w14:paraId="0F4E4DC5" w14:textId="77777777" w:rsidR="00984099" w:rsidRDefault="00984099" w:rsidP="00984099">
      <w:pPr>
        <w:pStyle w:val="Paragraphedeliste"/>
        <w:numPr>
          <w:ilvl w:val="1"/>
          <w:numId w:val="13"/>
        </w:numPr>
        <w:jc w:val="both"/>
      </w:pPr>
      <w:r>
        <w:lastRenderedPageBreak/>
        <w:t>Le risque de disparition de preuves peut également être retenu par le juge comme une circonstance justifiant l’absence de débat contradictoire</w:t>
      </w:r>
    </w:p>
    <w:p w14:paraId="4A0A2F32" w14:textId="77777777" w:rsidR="00984099" w:rsidRDefault="00984099" w:rsidP="00984099">
      <w:pPr>
        <w:jc w:val="both"/>
      </w:pPr>
    </w:p>
    <w:p w14:paraId="03C16696" w14:textId="77777777" w:rsidR="00984099" w:rsidRDefault="00984099" w:rsidP="00984099">
      <w:pPr>
        <w:pStyle w:val="Paragraphedeliste"/>
        <w:numPr>
          <w:ilvl w:val="0"/>
          <w:numId w:val="13"/>
        </w:numPr>
        <w:jc w:val="both"/>
      </w:pPr>
      <w:r w:rsidRPr="00984099">
        <w:rPr>
          <w:b/>
          <w:i/>
        </w:rPr>
        <w:t>D’autre part</w:t>
      </w:r>
      <w:r>
        <w:t>, que les mesures sollicitées soient urgentes</w:t>
      </w:r>
    </w:p>
    <w:p w14:paraId="2D893EAB" w14:textId="77777777" w:rsidR="00984099" w:rsidRDefault="00984099" w:rsidP="00984099">
      <w:pPr>
        <w:pStyle w:val="Paragraphedeliste"/>
        <w:numPr>
          <w:ilvl w:val="1"/>
          <w:numId w:val="13"/>
        </w:numPr>
        <w:jc w:val="both"/>
      </w:pPr>
      <w:r>
        <w:t xml:space="preserve">Classiquement, on dit qu’il y a urgence lorsque « </w:t>
      </w:r>
      <w:r w:rsidRPr="00984099">
        <w:rPr>
          <w:i/>
        </w:rPr>
        <w:t>qu’un retard dans la prescription de la mesure sollicitée serait préjudiciable aux intérêts du demandeur</w:t>
      </w:r>
      <w:r>
        <w:t xml:space="preserve"> » (R. Perrot, Cours de droit judiciaire privé, 1976-1977, p. 432).</w:t>
      </w:r>
    </w:p>
    <w:p w14:paraId="0535E61D" w14:textId="77777777" w:rsidR="00984099" w:rsidRDefault="00984099" w:rsidP="00984099">
      <w:pPr>
        <w:pStyle w:val="Paragraphedeliste"/>
        <w:numPr>
          <w:ilvl w:val="1"/>
          <w:numId w:val="13"/>
        </w:num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7FC99EA7" w14:textId="77777777" w:rsidR="00984099" w:rsidRPr="00984099" w:rsidRDefault="00984099" w:rsidP="00984099">
      <w:pPr>
        <w:jc w:val="both"/>
      </w:pPr>
    </w:p>
    <w:p w14:paraId="74D86EBE" w14:textId="77777777" w:rsidR="00984099" w:rsidRDefault="00984099" w:rsidP="00984099">
      <w:pPr>
        <w:jc w:val="both"/>
      </w:pPr>
      <w:r>
        <w:t xml:space="preserve">Lorsque </w:t>
      </w:r>
      <w:r w:rsidRPr="00984099">
        <w:t>la procédure sur requête se justifie, deux conditions devront</w:t>
      </w:r>
      <w:r>
        <w:t xml:space="preserve">, au surplus, </w:t>
      </w:r>
      <w:r w:rsidRPr="00984099">
        <w:t xml:space="preserve"> être remplies par le requérant :</w:t>
      </w:r>
    </w:p>
    <w:p w14:paraId="2E1D5574" w14:textId="77777777" w:rsidR="00984099" w:rsidRPr="00984099" w:rsidRDefault="00984099" w:rsidP="00984099">
      <w:pPr>
        <w:jc w:val="both"/>
      </w:pPr>
    </w:p>
    <w:p w14:paraId="3664024E" w14:textId="77777777" w:rsidR="00984099" w:rsidRDefault="00984099" w:rsidP="00984099">
      <w:pPr>
        <w:numPr>
          <w:ilvl w:val="0"/>
          <w:numId w:val="15"/>
        </w:numPr>
        <w:jc w:val="both"/>
      </w:pPr>
      <w:r w:rsidRPr="00984099">
        <w:rPr>
          <w:b/>
          <w:bCs/>
          <w:i/>
          <w:iCs/>
        </w:rPr>
        <w:t>D’une part</w:t>
      </w:r>
      <w:r w:rsidRPr="00984099">
        <w:t xml:space="preserve">, aucune instance au fond ne doit avoir été introduite, les mesures d’instructions </w:t>
      </w:r>
      <w:r w:rsidRPr="00984099">
        <w:rPr>
          <w:i/>
        </w:rPr>
        <w:t>in futurum</w:t>
      </w:r>
      <w:r w:rsidRPr="00984099">
        <w:t xml:space="preserve"> visant à se procurer des preuves avant tout procès</w:t>
      </w:r>
    </w:p>
    <w:p w14:paraId="35B948E5" w14:textId="77777777" w:rsidR="00984099" w:rsidRPr="00984099" w:rsidRDefault="00984099" w:rsidP="00984099">
      <w:pPr>
        <w:jc w:val="both"/>
      </w:pPr>
    </w:p>
    <w:p w14:paraId="202E5BE0" w14:textId="77777777" w:rsidR="00984099" w:rsidRPr="00984099" w:rsidRDefault="00984099" w:rsidP="00984099">
      <w:pPr>
        <w:numPr>
          <w:ilvl w:val="0"/>
          <w:numId w:val="15"/>
        </w:numPr>
        <w:jc w:val="both"/>
      </w:pPr>
      <w:r w:rsidRPr="00984099">
        <w:rPr>
          <w:b/>
          <w:bCs/>
          <w:i/>
          <w:iCs/>
        </w:rPr>
        <w:t>D’autre part</w:t>
      </w:r>
      <w:r w:rsidRPr="00984099">
        <w:t>, il doit justifier d’un motif légitime qu’il a de conserver ou d’établir l’existence de faits en prévision d’un éventuel procès : il faut que l’action éventuelle au fond ne soit pas manifestement vouée à l’échec</w:t>
      </w:r>
    </w:p>
    <w:p w14:paraId="2D875C52" w14:textId="77777777" w:rsidR="00671991" w:rsidRDefault="00671991" w:rsidP="00325E99">
      <w:pPr>
        <w:jc w:val="both"/>
      </w:pPr>
    </w:p>
    <w:p w14:paraId="3CED7541" w14:textId="77777777" w:rsidR="00C72C12" w:rsidRPr="00984099" w:rsidRDefault="00984099" w:rsidP="00984099">
      <w:pPr>
        <w:jc w:val="both"/>
        <w:rPr>
          <w:b/>
          <w:u w:val="single"/>
        </w:rPr>
      </w:pPr>
      <w:r>
        <w:sym w:font="Wingdings" w:char="F0E8"/>
      </w:r>
      <w:r w:rsidR="00C72C12" w:rsidRPr="00984099">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77777777" w:rsidR="00132F4B" w:rsidRPr="00132F4B" w:rsidRDefault="00C72C12" w:rsidP="00325E99">
      <w:pPr>
        <w:jc w:val="both"/>
      </w:pPr>
      <w:r>
        <w:sym w:font="Wingdings" w:char="F0E8"/>
      </w:r>
      <w:r w:rsidRPr="00C72C12">
        <w:rPr>
          <w:b/>
          <w:u w:val="single"/>
        </w:rPr>
        <w:t>En conséquence</w:t>
      </w:r>
      <w:r w:rsidR="00DC5F3C">
        <w:t xml:space="preserve">, </w:t>
      </w:r>
      <w:r w:rsidR="00750D3B">
        <w:t>compte tenu des circonstances qui</w:t>
      </w:r>
      <w:r w:rsidR="00750D3B" w:rsidRPr="00750D3B">
        <w:t xml:space="preserve"> exigent </w:t>
      </w:r>
      <w:r w:rsidR="00750D3B">
        <w:t xml:space="preserve">que des mesures urgentes </w:t>
      </w:r>
      <w:r w:rsidR="00750D3B" w:rsidRPr="00750D3B">
        <w:t>ne soien</w:t>
      </w:r>
      <w:r w:rsidR="002A72B3">
        <w:t>t pas prises contradictoirement,</w:t>
      </w:r>
      <w:r w:rsidR="00750D3B">
        <w:t xml:space="preserve"> </w:t>
      </w:r>
      <w:r w:rsidR="00CB0920">
        <w:t>il est demandé au Président du T</w:t>
      </w:r>
      <w:r w:rsidR="00BD4665">
        <w:t>ribunal de céans de [</w:t>
      </w:r>
      <w:r w:rsidR="00BD4665" w:rsidRPr="00BD4665">
        <w:rPr>
          <w:i/>
        </w:rPr>
        <w:t>objet de la</w:t>
      </w:r>
      <w:r w:rsidR="00CB0920" w:rsidRPr="00BD4665">
        <w:rPr>
          <w:i/>
        </w:rPr>
        <w:t xml:space="preserve"> mesure </w:t>
      </w:r>
      <w:r w:rsidR="005C3B56">
        <w:rPr>
          <w:i/>
        </w:rPr>
        <w:t xml:space="preserve">d’instruction </w:t>
      </w:r>
      <w:r w:rsidR="00CB0920" w:rsidRPr="00BD4665">
        <w:rPr>
          <w:i/>
        </w:rPr>
        <w:t>sollicitée</w:t>
      </w:r>
      <w:r w:rsidR="00CB0920">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77777777" w:rsidR="00DA2A59" w:rsidRDefault="00DA2A59" w:rsidP="00DA2A59">
      <w:pPr>
        <w:rPr>
          <w:i/>
        </w:rPr>
      </w:pPr>
      <w:r w:rsidRPr="00780FAB">
        <w:rPr>
          <w:i/>
        </w:rPr>
        <w:t>Vu l</w:t>
      </w:r>
      <w:r w:rsidR="008E18E6">
        <w:rPr>
          <w:i/>
        </w:rPr>
        <w:t>’article 145</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7777777" w:rsidR="008E2547" w:rsidRDefault="00DC5F3C" w:rsidP="008E2547">
      <w:pPr>
        <w:jc w:val="both"/>
      </w:pPr>
      <w:r>
        <w:t>Il est demandé au Président près le</w:t>
      </w:r>
      <w:r w:rsidR="008E2547">
        <w:t xml:space="preserve"> Tribunal de grande instance de </w:t>
      </w:r>
      <w:r w:rsidR="00DA2A59" w:rsidRPr="00DA2A59">
        <w:rPr>
          <w:i/>
        </w:rPr>
        <w:t>[ville]</w:t>
      </w:r>
      <w:r w:rsidR="008E2547">
        <w:t xml:space="preserve"> de :</w:t>
      </w:r>
    </w:p>
    <w:p w14:paraId="76A18A60" w14:textId="77777777" w:rsidR="008E2547" w:rsidRDefault="008E2547" w:rsidP="008E2547">
      <w:pPr>
        <w:jc w:val="both"/>
      </w:pPr>
    </w:p>
    <w:p w14:paraId="2E468049"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61B42A4A" w14:textId="77777777" w:rsidR="001561F8" w:rsidRDefault="001561F8" w:rsidP="001561F8">
      <w:pPr>
        <w:jc w:val="both"/>
      </w:pPr>
    </w:p>
    <w:p w14:paraId="57C73472"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1033D1E8" w14:textId="77777777" w:rsidR="001561F8" w:rsidRDefault="001561F8" w:rsidP="001561F8">
      <w:pPr>
        <w:jc w:val="both"/>
      </w:pPr>
    </w:p>
    <w:p w14:paraId="2F08789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7307F5E0" w14:textId="77777777" w:rsidR="004F7254" w:rsidRPr="004F7254" w:rsidRDefault="004F7254" w:rsidP="004F7254">
      <w:pPr>
        <w:pStyle w:val="Paragraphedeliste"/>
        <w:rPr>
          <w:b/>
        </w:rPr>
      </w:pPr>
    </w:p>
    <w:p w14:paraId="13708039" w14:textId="77777777" w:rsidR="004F7254" w:rsidRPr="00BD3368" w:rsidRDefault="004F7254" w:rsidP="00BD3368">
      <w:pPr>
        <w:pStyle w:val="Paragraphedeliste"/>
        <w:numPr>
          <w:ilvl w:val="0"/>
          <w:numId w:val="3"/>
        </w:numPr>
        <w:jc w:val="both"/>
        <w:rPr>
          <w:b/>
        </w:rPr>
      </w:pPr>
      <w:r>
        <w:rPr>
          <w:b/>
        </w:rPr>
        <w:t xml:space="preserve">NOMMER </w:t>
      </w:r>
      <w:r>
        <w:t>[…]</w:t>
      </w:r>
    </w:p>
    <w:p w14:paraId="5DF3C945" w14:textId="77777777" w:rsidR="00F11F06" w:rsidRDefault="00F11F06" w:rsidP="001561F8">
      <w:pPr>
        <w:jc w:val="both"/>
      </w:pPr>
    </w:p>
    <w:p w14:paraId="6C7D4F9A" w14:textId="77777777" w:rsidR="00805780" w:rsidRDefault="00805780" w:rsidP="004D571A">
      <w:pPr>
        <w:jc w:val="both"/>
      </w:pPr>
    </w:p>
    <w:p w14:paraId="1E63CA99" w14:textId="77777777" w:rsidR="00BE5D45" w:rsidRDefault="00BE5D45"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50245AC1" w14:textId="77777777" w:rsidR="006E2390" w:rsidRDefault="006E2390">
      <w:pPr>
        <w:spacing w:after="200" w:line="276" w:lineRule="auto"/>
      </w:pPr>
      <w:r>
        <w:br w:type="page"/>
      </w:r>
    </w:p>
    <w:p w14:paraId="1DBA738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4EF04F2"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309D77E7"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240DB768" w14:textId="77777777" w:rsidR="006E2390" w:rsidRDefault="006E2390" w:rsidP="00381CA2">
      <w:pPr>
        <w:jc w:val="both"/>
      </w:pPr>
    </w:p>
    <w:p w14:paraId="3D41C621" w14:textId="77777777" w:rsidR="00030753" w:rsidRPr="00795898" w:rsidRDefault="00030753" w:rsidP="00381CA2">
      <w:pPr>
        <w:jc w:val="both"/>
      </w:pPr>
    </w:p>
    <w:p w14:paraId="1F5AC66B" w14:textId="77777777" w:rsidR="006E2390" w:rsidRPr="00795898" w:rsidRDefault="00030753" w:rsidP="00381CA2">
      <w:pPr>
        <w:jc w:val="both"/>
      </w:pPr>
      <w:r>
        <w:rPr>
          <w:b/>
        </w:rPr>
        <w:t xml:space="preserve">Nous, </w:t>
      </w:r>
      <w:r w:rsidR="00397112">
        <w:t>Président près le</w:t>
      </w:r>
      <w:r w:rsidR="006E2390" w:rsidRPr="00795898">
        <w:t xml:space="preserve"> Tribunal de Grande Instance de </w:t>
      </w:r>
      <w:r w:rsidR="001D0B2B" w:rsidRPr="001D0B2B">
        <w:rPr>
          <w:i/>
        </w:rPr>
        <w:t>[ville]</w:t>
      </w:r>
    </w:p>
    <w:p w14:paraId="787AB5F5" w14:textId="77777777" w:rsidR="006E2390" w:rsidRDefault="006E2390" w:rsidP="00381CA2">
      <w:pPr>
        <w:jc w:val="both"/>
      </w:pPr>
    </w:p>
    <w:p w14:paraId="16A375F6" w14:textId="77777777" w:rsidR="00030753" w:rsidRDefault="00030753" w:rsidP="00381CA2">
      <w:pPr>
        <w:jc w:val="both"/>
      </w:pPr>
      <w:r>
        <w:t xml:space="preserve">Assisté de </w:t>
      </w:r>
      <w:r w:rsidRPr="00030753">
        <w:rPr>
          <w:i/>
        </w:rPr>
        <w:t>[identité du greffier]</w:t>
      </w:r>
      <w:r>
        <w:t>, greffier</w:t>
      </w:r>
    </w:p>
    <w:p w14:paraId="17F11EE2" w14:textId="77777777" w:rsidR="00030753" w:rsidRPr="00795898" w:rsidRDefault="00030753" w:rsidP="00381CA2">
      <w:pPr>
        <w:jc w:val="both"/>
      </w:pPr>
    </w:p>
    <w:p w14:paraId="183A86A4" w14:textId="77777777" w:rsidR="006E2390" w:rsidRDefault="002533CE" w:rsidP="00381CA2">
      <w:pPr>
        <w:jc w:val="both"/>
        <w:rPr>
          <w:i/>
        </w:rPr>
      </w:pPr>
      <w:r w:rsidRPr="002D7840">
        <w:rPr>
          <w:i/>
        </w:rPr>
        <w:t>Vu l’article</w:t>
      </w:r>
      <w:r w:rsidR="008E18E6">
        <w:rPr>
          <w:i/>
        </w:rPr>
        <w:t xml:space="preserve"> 145</w:t>
      </w:r>
      <w:r w:rsidR="00B03ECC">
        <w:rPr>
          <w:i/>
        </w:rPr>
        <w:t xml:space="preserve"> </w:t>
      </w:r>
      <w:r w:rsidR="006E2390" w:rsidRPr="002D7840">
        <w:rPr>
          <w:i/>
        </w:rPr>
        <w:t>du Code de procédure civile</w:t>
      </w:r>
    </w:p>
    <w:p w14:paraId="184C0072"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B9D81A" w14:textId="77777777" w:rsidR="00381CA2" w:rsidRPr="002D7840" w:rsidRDefault="00381CA2" w:rsidP="00381CA2">
      <w:pPr>
        <w:jc w:val="both"/>
        <w:rPr>
          <w:i/>
        </w:rPr>
      </w:pPr>
      <w:r>
        <w:rPr>
          <w:i/>
        </w:rPr>
        <w:t>Vu l’urgence caractérisée dans la requête</w:t>
      </w:r>
    </w:p>
    <w:p w14:paraId="12A42A40" w14:textId="77777777" w:rsidR="006E2390" w:rsidRDefault="006E2390" w:rsidP="00381CA2">
      <w:pPr>
        <w:jc w:val="both"/>
      </w:pPr>
    </w:p>
    <w:p w14:paraId="3EF593B2" w14:textId="77777777" w:rsidR="00CD5594" w:rsidRDefault="00CD5594" w:rsidP="00381CA2">
      <w:pPr>
        <w:jc w:val="both"/>
      </w:pPr>
    </w:p>
    <w:p w14:paraId="6E2FE136" w14:textId="77777777" w:rsidR="00CD5594" w:rsidRPr="00D5620D" w:rsidRDefault="00030753" w:rsidP="00381CA2">
      <w:pPr>
        <w:jc w:val="both"/>
        <w:rPr>
          <w:b/>
        </w:rPr>
      </w:pPr>
      <w:r>
        <w:rPr>
          <w:b/>
        </w:rPr>
        <w:t xml:space="preserve">Autorisons </w:t>
      </w:r>
      <w:r w:rsidR="00B03ECC" w:rsidRPr="00B03ECC">
        <w:t>[…]</w:t>
      </w:r>
    </w:p>
    <w:p w14:paraId="3DDFD4BF" w14:textId="77777777" w:rsidR="00CD5594" w:rsidRDefault="00CD5594" w:rsidP="00381CA2">
      <w:pPr>
        <w:jc w:val="both"/>
      </w:pPr>
    </w:p>
    <w:p w14:paraId="4EF16E3D" w14:textId="77777777" w:rsidR="00B03ECC" w:rsidRDefault="00B03ECC" w:rsidP="00381CA2">
      <w:pPr>
        <w:jc w:val="both"/>
      </w:pPr>
      <w:r w:rsidRPr="00B03ECC">
        <w:rPr>
          <w:b/>
        </w:rPr>
        <w:t>Ordonnons</w:t>
      </w:r>
      <w:r>
        <w:t xml:space="preserve"> […]</w:t>
      </w:r>
    </w:p>
    <w:p w14:paraId="1F1F059C" w14:textId="77777777" w:rsidR="00B03ECC" w:rsidRDefault="00B03ECC" w:rsidP="00381CA2">
      <w:pPr>
        <w:jc w:val="both"/>
      </w:pPr>
    </w:p>
    <w:p w14:paraId="0426F749" w14:textId="77777777" w:rsidR="00B03ECC" w:rsidRDefault="00B03ECC" w:rsidP="00381CA2">
      <w:pPr>
        <w:jc w:val="both"/>
      </w:pPr>
      <w:r w:rsidRPr="00297858">
        <w:rPr>
          <w:b/>
        </w:rPr>
        <w:t xml:space="preserve">Disons </w:t>
      </w:r>
      <w:r>
        <w:t xml:space="preserve">[…] </w:t>
      </w:r>
    </w:p>
    <w:p w14:paraId="65E9552D" w14:textId="77777777" w:rsidR="00B03ECC" w:rsidRDefault="00B03ECC" w:rsidP="00381CA2">
      <w:pPr>
        <w:jc w:val="both"/>
      </w:pPr>
    </w:p>
    <w:p w14:paraId="43759F40" w14:textId="77777777" w:rsidR="00B03ECC" w:rsidRDefault="00B03ECC" w:rsidP="00381CA2">
      <w:pPr>
        <w:jc w:val="both"/>
      </w:pPr>
      <w:r w:rsidRPr="00297858">
        <w:rPr>
          <w:b/>
        </w:rPr>
        <w:t>Nommons</w:t>
      </w:r>
      <w:r>
        <w:t xml:space="preserve"> […]</w:t>
      </w:r>
    </w:p>
    <w:p w14:paraId="126B366A" w14:textId="77777777" w:rsidR="00030753" w:rsidRDefault="00030753" w:rsidP="00381CA2">
      <w:pPr>
        <w:jc w:val="both"/>
      </w:pPr>
    </w:p>
    <w:p w14:paraId="36134405" w14:textId="77777777" w:rsidR="00C4758D" w:rsidRDefault="00C4758D" w:rsidP="00381CA2">
      <w:pPr>
        <w:jc w:val="both"/>
      </w:pPr>
    </w:p>
    <w:p w14:paraId="1C25408C" w14:textId="77777777" w:rsidR="007521FB" w:rsidRDefault="007521FB" w:rsidP="00381CA2">
      <w:pPr>
        <w:jc w:val="both"/>
      </w:pPr>
    </w:p>
    <w:p w14:paraId="5C29EE55" w14:textId="77777777" w:rsidR="00B03ECC" w:rsidRDefault="00B03ECC" w:rsidP="00381CA2">
      <w:pPr>
        <w:jc w:val="both"/>
      </w:pPr>
    </w:p>
    <w:p w14:paraId="4FA92AEA" w14:textId="77777777" w:rsidR="00030753" w:rsidRPr="00795898" w:rsidRDefault="00030753" w:rsidP="00381CA2">
      <w:pPr>
        <w:jc w:val="both"/>
      </w:pPr>
    </w:p>
    <w:p w14:paraId="27E02C66" w14:textId="77777777" w:rsidR="006E2390" w:rsidRPr="00795898" w:rsidRDefault="006E2390" w:rsidP="00381CA2">
      <w:pPr>
        <w:jc w:val="both"/>
      </w:pPr>
      <w:r w:rsidRPr="00795898">
        <w:t xml:space="preserve">Fait en notre cabinet, au Tribunal de Grande Instance de </w:t>
      </w:r>
      <w:r w:rsidR="0032158A" w:rsidRPr="0032158A">
        <w:rPr>
          <w:i/>
        </w:rPr>
        <w:t>[ville]</w:t>
      </w:r>
      <w:r w:rsidRPr="00795898">
        <w:t xml:space="preserve">, </w:t>
      </w:r>
    </w:p>
    <w:p w14:paraId="5E141347" w14:textId="77777777" w:rsidR="00155CC8" w:rsidRDefault="00155CC8" w:rsidP="00381CA2">
      <w:pPr>
        <w:jc w:val="both"/>
      </w:pPr>
    </w:p>
    <w:p w14:paraId="43347CE9"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4FA8C29F" w14:textId="77777777" w:rsidR="006E2390" w:rsidRDefault="006E2390" w:rsidP="00381CA2">
      <w:pPr>
        <w:jc w:val="both"/>
      </w:pPr>
    </w:p>
    <w:p w14:paraId="183F2EA6" w14:textId="77777777" w:rsidR="00381CA2" w:rsidRDefault="00381CA2" w:rsidP="00381CA2">
      <w:pPr>
        <w:jc w:val="both"/>
      </w:pPr>
    </w:p>
    <w:p w14:paraId="4AED4476" w14:textId="77777777" w:rsidR="00381CA2" w:rsidRDefault="00381CA2" w:rsidP="00381CA2">
      <w:pPr>
        <w:jc w:val="both"/>
      </w:pPr>
    </w:p>
    <w:p w14:paraId="0B683884" w14:textId="77777777" w:rsidR="00381CA2" w:rsidRDefault="00381CA2" w:rsidP="00381CA2">
      <w:pPr>
        <w:jc w:val="both"/>
      </w:pPr>
    </w:p>
    <w:p w14:paraId="384CC4AB" w14:textId="77777777" w:rsidR="00381CA2" w:rsidRDefault="00381CA2" w:rsidP="00381CA2">
      <w:pPr>
        <w:jc w:val="both"/>
      </w:pPr>
    </w:p>
    <w:p w14:paraId="7421AE1B"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4"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3"/>
  </w:num>
  <w:num w:numId="5">
    <w:abstractNumId w:val="13"/>
  </w:num>
  <w:num w:numId="6">
    <w:abstractNumId w:val="10"/>
  </w:num>
  <w:num w:numId="7">
    <w:abstractNumId w:val="4"/>
  </w:num>
  <w:num w:numId="8">
    <w:abstractNumId w:val="6"/>
  </w:num>
  <w:num w:numId="9">
    <w:abstractNumId w:val="2"/>
  </w:num>
  <w:num w:numId="10">
    <w:abstractNumId w:val="12"/>
  </w:num>
  <w:num w:numId="11">
    <w:abstractNumId w:val="0"/>
  </w:num>
  <w:num w:numId="12">
    <w:abstractNumId w:val="5"/>
  </w:num>
  <w:num w:numId="13">
    <w:abstractNumId w:val="8"/>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41E2A"/>
    <w:rsid w:val="00153CB6"/>
    <w:rsid w:val="00155CC8"/>
    <w:rsid w:val="001561F8"/>
    <w:rsid w:val="00156325"/>
    <w:rsid w:val="001841A5"/>
    <w:rsid w:val="001A734C"/>
    <w:rsid w:val="001B7121"/>
    <w:rsid w:val="001C1CB8"/>
    <w:rsid w:val="001D0B2B"/>
    <w:rsid w:val="001D1A6B"/>
    <w:rsid w:val="001F1637"/>
    <w:rsid w:val="001F390C"/>
    <w:rsid w:val="001F6F07"/>
    <w:rsid w:val="00204C8E"/>
    <w:rsid w:val="002072FF"/>
    <w:rsid w:val="00215D9D"/>
    <w:rsid w:val="00230F0F"/>
    <w:rsid w:val="00235B59"/>
    <w:rsid w:val="002533C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D33E8"/>
    <w:rsid w:val="00404DB4"/>
    <w:rsid w:val="00406BA0"/>
    <w:rsid w:val="004164DF"/>
    <w:rsid w:val="00417340"/>
    <w:rsid w:val="00450193"/>
    <w:rsid w:val="004514C4"/>
    <w:rsid w:val="00465AA0"/>
    <w:rsid w:val="00476785"/>
    <w:rsid w:val="004849C1"/>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707A1C"/>
    <w:rsid w:val="007127D7"/>
    <w:rsid w:val="00720291"/>
    <w:rsid w:val="0072182B"/>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18E6"/>
    <w:rsid w:val="008E2547"/>
    <w:rsid w:val="008E28B5"/>
    <w:rsid w:val="008F01DA"/>
    <w:rsid w:val="008F025E"/>
    <w:rsid w:val="009108BE"/>
    <w:rsid w:val="00912E71"/>
    <w:rsid w:val="009400FE"/>
    <w:rsid w:val="009561AF"/>
    <w:rsid w:val="00960909"/>
    <w:rsid w:val="00971C6D"/>
    <w:rsid w:val="00984099"/>
    <w:rsid w:val="00984912"/>
    <w:rsid w:val="009C32FB"/>
    <w:rsid w:val="009D587A"/>
    <w:rsid w:val="009D7562"/>
    <w:rsid w:val="00A0788E"/>
    <w:rsid w:val="00A07A63"/>
    <w:rsid w:val="00A169D6"/>
    <w:rsid w:val="00A20FA9"/>
    <w:rsid w:val="00A3053B"/>
    <w:rsid w:val="00A37792"/>
    <w:rsid w:val="00A70897"/>
    <w:rsid w:val="00AA1B57"/>
    <w:rsid w:val="00AB4A3B"/>
    <w:rsid w:val="00B00B31"/>
    <w:rsid w:val="00B03ECC"/>
    <w:rsid w:val="00B13005"/>
    <w:rsid w:val="00B1652A"/>
    <w:rsid w:val="00B775CF"/>
    <w:rsid w:val="00BB70E0"/>
    <w:rsid w:val="00BC25C0"/>
    <w:rsid w:val="00BD3368"/>
    <w:rsid w:val="00BD4665"/>
    <w:rsid w:val="00BE5D45"/>
    <w:rsid w:val="00C07E9A"/>
    <w:rsid w:val="00C11647"/>
    <w:rsid w:val="00C12ADA"/>
    <w:rsid w:val="00C13F96"/>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E03497"/>
    <w:rsid w:val="00E3694F"/>
    <w:rsid w:val="00E5453B"/>
    <w:rsid w:val="00E73761"/>
    <w:rsid w:val="00E7677F"/>
    <w:rsid w:val="00E924A6"/>
    <w:rsid w:val="00EB0BBC"/>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07E3-0557-42E6-B8A2-DF5CBBFA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cp:revision>
  <cp:lastPrinted>2018-12-27T11:23:00Z</cp:lastPrinted>
  <dcterms:created xsi:type="dcterms:W3CDTF">2019-12-05T12:08:00Z</dcterms:created>
  <dcterms:modified xsi:type="dcterms:W3CDTF">2019-12-07T22:49:00Z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