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82B1" w14:textId="3FA65646" w:rsidR="00A15365" w:rsidRDefault="00CA1BEA" w:rsidP="00661232">
      <w:r w:rsidRPr="00CA1BEA">
        <w:rPr>
          <w:i/>
        </w:rPr>
        <w:t>[N°]</w:t>
      </w:r>
      <w:r>
        <w:t xml:space="preserve"> </w:t>
      </w:r>
      <w:r w:rsidR="00A15365">
        <w:t>Chambre</w:t>
      </w:r>
      <w:r>
        <w:t xml:space="preserve"> </w:t>
      </w:r>
      <w:r w:rsidRPr="00CA1BEA">
        <w:rPr>
          <w:i/>
        </w:rPr>
        <w:t>[intitulé]</w:t>
      </w:r>
    </w:p>
    <w:p w14:paraId="1CE4952C" w14:textId="083B68A4" w:rsidR="00CA1BEA" w:rsidRDefault="00CA1BEA" w:rsidP="00CA1BEA">
      <w:pPr>
        <w:pStyle w:val="Normalsansretrait"/>
        <w:rPr>
          <w:i/>
        </w:rPr>
      </w:pPr>
      <w:r w:rsidRPr="00CA1BEA">
        <w:t xml:space="preserve">N° R.G. : </w:t>
      </w:r>
      <w:r w:rsidRPr="00CA1BEA">
        <w:rPr>
          <w:i/>
        </w:rPr>
        <w:t>[X]</w:t>
      </w:r>
    </w:p>
    <w:p w14:paraId="71923407" w14:textId="69A11BAA" w:rsidR="00763EAB" w:rsidRPr="00763EAB" w:rsidRDefault="00763EAB" w:rsidP="00763EAB">
      <w:r>
        <w:t xml:space="preserve">Affaire : </w:t>
      </w:r>
      <w:r w:rsidRPr="00763EAB">
        <w:rPr>
          <w:i/>
        </w:rPr>
        <w:t>[nom du demandeur]</w:t>
      </w:r>
      <w:r>
        <w:t xml:space="preserve"> C/ </w:t>
      </w:r>
      <w:r w:rsidRPr="00763EAB">
        <w:rPr>
          <w:i/>
        </w:rPr>
        <w:t>[nom du défendeur]</w:t>
      </w:r>
    </w:p>
    <w:p w14:paraId="0BC14CCA" w14:textId="4E099EBA" w:rsidR="00661232" w:rsidRDefault="00CA1BEA" w:rsidP="00661232">
      <w:r>
        <w:t>Conclusions notifiées</w:t>
      </w:r>
      <w:r w:rsidR="00661232">
        <w:t xml:space="preserve"> le </w:t>
      </w:r>
      <w:r w:rsidR="00661232" w:rsidRPr="00661232">
        <w:rPr>
          <w:i/>
        </w:rPr>
        <w:t xml:space="preserve">[date] </w:t>
      </w:r>
      <w:r w:rsidR="00661232">
        <w:t>par RPVA</w:t>
      </w:r>
    </w:p>
    <w:p w14:paraId="11AB8DE5" w14:textId="4C41C462" w:rsidR="00661232" w:rsidRDefault="00661232" w:rsidP="00661232">
      <w:r w:rsidRPr="00493A03">
        <w:t xml:space="preserve">Audience </w:t>
      </w:r>
      <w:r>
        <w:t xml:space="preserve">du </w:t>
      </w:r>
      <w:r w:rsidRPr="00661232">
        <w:rPr>
          <w:i/>
        </w:rPr>
        <w:t>[date]</w:t>
      </w:r>
      <w:r>
        <w:t xml:space="preserve"> à </w:t>
      </w:r>
      <w:r w:rsidRPr="00EE2C7A">
        <w:rPr>
          <w:i/>
        </w:rPr>
        <w:t>[heure]</w:t>
      </w:r>
    </w:p>
    <w:p w14:paraId="533DFA89" w14:textId="77777777" w:rsidR="00661232" w:rsidRDefault="00661232" w:rsidP="00661232"/>
    <w:p w14:paraId="7C8C8F05" w14:textId="77777777" w:rsidR="001F08E7" w:rsidRDefault="001F08E7" w:rsidP="00661232"/>
    <w:p w14:paraId="6B5E2465" w14:textId="55F916F4" w:rsidR="001F08E7" w:rsidRPr="001F08E7" w:rsidRDefault="001F08E7" w:rsidP="001F08E7">
      <w:pPr>
        <w:pBdr>
          <w:top w:val="single" w:sz="4" w:space="1" w:color="auto"/>
          <w:left w:val="single" w:sz="4" w:space="4" w:color="auto"/>
          <w:bottom w:val="single" w:sz="4" w:space="1" w:color="auto"/>
          <w:right w:val="single" w:sz="4" w:space="4" w:color="auto"/>
        </w:pBdr>
        <w:shd w:val="clear" w:color="auto" w:fill="E7E6E6" w:themeFill="background2"/>
        <w:jc w:val="center"/>
        <w:rPr>
          <w:b/>
          <w:sz w:val="32"/>
          <w:szCs w:val="32"/>
        </w:rPr>
      </w:pPr>
      <w:r w:rsidRPr="001F08E7">
        <w:rPr>
          <w:b/>
          <w:sz w:val="32"/>
          <w:szCs w:val="32"/>
        </w:rPr>
        <w:t>CONCLUSIONS D’I</w:t>
      </w:r>
      <w:r>
        <w:rPr>
          <w:b/>
          <w:sz w:val="32"/>
          <w:szCs w:val="32"/>
        </w:rPr>
        <w:t xml:space="preserve">NCIDENT </w:t>
      </w:r>
      <w:r w:rsidR="004E7B4C">
        <w:rPr>
          <w:b/>
          <w:sz w:val="32"/>
          <w:szCs w:val="32"/>
        </w:rPr>
        <w:t>AUX FINS DE VOIR DÉCLAR</w:t>
      </w:r>
      <w:r w:rsidR="008D0ADB">
        <w:rPr>
          <w:b/>
          <w:sz w:val="32"/>
          <w:szCs w:val="32"/>
        </w:rPr>
        <w:t>É</w:t>
      </w:r>
      <w:r w:rsidRPr="001F08E7">
        <w:rPr>
          <w:b/>
          <w:sz w:val="32"/>
          <w:szCs w:val="32"/>
        </w:rPr>
        <w:t xml:space="preserve"> LE TRIBUNAL INCOMPÉTENT</w:t>
      </w:r>
    </w:p>
    <w:p w14:paraId="15A7327A" w14:textId="77777777" w:rsidR="001F08E7" w:rsidRPr="001F08E7" w:rsidRDefault="001F08E7" w:rsidP="001F08E7">
      <w:pPr>
        <w:pBdr>
          <w:top w:val="single" w:sz="4" w:space="1" w:color="auto"/>
          <w:left w:val="single" w:sz="4" w:space="4" w:color="auto"/>
          <w:bottom w:val="single" w:sz="4" w:space="1" w:color="auto"/>
          <w:right w:val="single" w:sz="4" w:space="4" w:color="auto"/>
        </w:pBdr>
        <w:shd w:val="clear" w:color="auto" w:fill="E7E6E6" w:themeFill="background2"/>
        <w:jc w:val="center"/>
        <w:rPr>
          <w:b/>
          <w:sz w:val="32"/>
          <w:szCs w:val="32"/>
        </w:rPr>
      </w:pPr>
      <w:r w:rsidRPr="001F08E7">
        <w:rPr>
          <w:b/>
          <w:sz w:val="32"/>
          <w:szCs w:val="32"/>
        </w:rPr>
        <w:t>PAR-DEVANT LE JUGE DE LA MISE EN ÉTAT PRÈS LE TRIBUNAL DE GRANDE INSTANCE DE [Ville]</w:t>
      </w:r>
    </w:p>
    <w:p w14:paraId="3757B3C5" w14:textId="77777777" w:rsidR="001F08E7" w:rsidRDefault="001F08E7" w:rsidP="00661232"/>
    <w:p w14:paraId="3A985745" w14:textId="77777777" w:rsidR="001F08E7" w:rsidRDefault="001F08E7" w:rsidP="00661232"/>
    <w:p w14:paraId="0158CF95" w14:textId="77777777" w:rsidR="001F08E7" w:rsidRDefault="001F08E7" w:rsidP="00661232"/>
    <w:p w14:paraId="7BE4BF60" w14:textId="77777777" w:rsidR="007B458A" w:rsidRDefault="00CA495E" w:rsidP="007B458A">
      <w:pPr>
        <w:pStyle w:val="Titre2"/>
        <w:keepNext w:val="0"/>
        <w:rPr>
          <w:u w:val="none"/>
        </w:rPr>
      </w:pPr>
      <w:r>
        <w:t>POUR :</w:t>
      </w:r>
    </w:p>
    <w:p w14:paraId="118EB36C" w14:textId="77777777" w:rsidR="00DB05D9" w:rsidRDefault="00DB05D9" w:rsidP="007B458A"/>
    <w:p w14:paraId="2A85FF4B" w14:textId="77777777" w:rsidR="00C640F3" w:rsidRPr="003A315C" w:rsidRDefault="003A2CF8" w:rsidP="00C640F3">
      <w:pPr>
        <w:jc w:val="center"/>
        <w:rPr>
          <w:b/>
        </w:rPr>
      </w:pPr>
      <w:r w:rsidRPr="003A315C">
        <w:rPr>
          <w:b/>
        </w:rPr>
        <w:t>[</w:t>
      </w:r>
      <w:r w:rsidRPr="003A315C">
        <w:rPr>
          <w:b/>
          <w:i/>
        </w:rPr>
        <w:t>Si personne physique</w:t>
      </w:r>
      <w:r w:rsidRPr="003A315C">
        <w:rPr>
          <w:b/>
        </w:rPr>
        <w:t>]</w:t>
      </w:r>
    </w:p>
    <w:p w14:paraId="719F978A" w14:textId="77777777" w:rsidR="00C640F3" w:rsidRDefault="00C640F3" w:rsidP="003A2CF8">
      <w:pPr>
        <w:rPr>
          <w:b/>
        </w:rPr>
      </w:pPr>
    </w:p>
    <w:p w14:paraId="12858B49" w14:textId="23BD3542" w:rsidR="00DB05D9" w:rsidRDefault="00DB05D9" w:rsidP="003A2CF8">
      <w:r w:rsidRPr="003A2CF8">
        <w:rPr>
          <w:b/>
        </w:rPr>
        <w:t>M</w:t>
      </w:r>
      <w:r w:rsidR="00793ABE">
        <w:rPr>
          <w:b/>
        </w:rPr>
        <w:t>onsieur</w:t>
      </w:r>
      <w:r w:rsidRPr="003A2CF8">
        <w:rPr>
          <w:b/>
        </w:rPr>
        <w:t xml:space="preserve"> ou </w:t>
      </w:r>
      <w:r w:rsidR="00793ABE">
        <w:rPr>
          <w:b/>
        </w:rPr>
        <w:t>Madame</w:t>
      </w:r>
      <w:r w:rsidRPr="003A2CF8">
        <w:rPr>
          <w:b/>
        </w:rPr>
        <w:t xml:space="preserve"> </w:t>
      </w:r>
      <w:r w:rsidR="003C5E7B" w:rsidRPr="003C5E7B">
        <w:rPr>
          <w:b/>
          <w:i/>
        </w:rPr>
        <w:t>[nom</w:t>
      </w:r>
      <w:r w:rsidR="003C5E7B">
        <w:rPr>
          <w:b/>
          <w:i/>
        </w:rPr>
        <w:t>, prénom</w:t>
      </w:r>
      <w:r w:rsidR="003C5E7B" w:rsidRPr="003C5E7B">
        <w:rPr>
          <w:b/>
          <w:i/>
        </w:rPr>
        <w:t>]</w:t>
      </w:r>
      <w:r>
        <w:t xml:space="preserve">, né le </w:t>
      </w:r>
      <w:r w:rsidR="003C5E7B" w:rsidRPr="003C5E7B">
        <w:rPr>
          <w:i/>
        </w:rPr>
        <w:t>[date]</w:t>
      </w:r>
      <w:r>
        <w:t xml:space="preserve">, de nationalité </w:t>
      </w:r>
      <w:r w:rsidR="003C5E7B" w:rsidRPr="003C5E7B">
        <w:rPr>
          <w:i/>
        </w:rPr>
        <w:t>[pays</w:t>
      </w:r>
      <w:r w:rsidRPr="003C5E7B">
        <w:rPr>
          <w:i/>
        </w:rPr>
        <w:t>]</w:t>
      </w:r>
      <w:r>
        <w:t xml:space="preserve">, </w:t>
      </w:r>
      <w:r w:rsidR="009E7779" w:rsidRPr="00A40AD5">
        <w:rPr>
          <w:i/>
        </w:rPr>
        <w:t>[profession]</w:t>
      </w:r>
      <w:r w:rsidR="009E7779">
        <w:t xml:space="preserve">, </w:t>
      </w:r>
      <w:r>
        <w:t xml:space="preserve">demeurant </w:t>
      </w:r>
      <w:r w:rsidR="003A2CF8">
        <w:t xml:space="preserve">à </w:t>
      </w:r>
      <w:r w:rsidR="003C5E7B" w:rsidRPr="003C5E7B">
        <w:rPr>
          <w:i/>
        </w:rPr>
        <w:t>[adresse</w:t>
      </w:r>
      <w:r w:rsidR="003A2CF8" w:rsidRPr="003C5E7B">
        <w:rPr>
          <w:i/>
        </w:rPr>
        <w:t>]</w:t>
      </w:r>
      <w:r w:rsidR="003A2CF8">
        <w:t xml:space="preserve"> </w:t>
      </w:r>
    </w:p>
    <w:p w14:paraId="283D36A1" w14:textId="77777777" w:rsidR="00DB05D9" w:rsidRDefault="00DB05D9" w:rsidP="007B458A"/>
    <w:p w14:paraId="4F65806D" w14:textId="77777777" w:rsidR="00C640F3" w:rsidRPr="003A315C" w:rsidRDefault="003A2CF8" w:rsidP="00C640F3">
      <w:pPr>
        <w:jc w:val="center"/>
        <w:rPr>
          <w:b/>
        </w:rPr>
      </w:pPr>
      <w:r w:rsidRPr="003A315C">
        <w:rPr>
          <w:b/>
        </w:rPr>
        <w:t>[</w:t>
      </w:r>
      <w:r w:rsidRPr="003A315C">
        <w:rPr>
          <w:b/>
          <w:i/>
        </w:rPr>
        <w:t xml:space="preserve">Si personne </w:t>
      </w:r>
      <w:r w:rsidR="00C640F3" w:rsidRPr="003A315C">
        <w:rPr>
          <w:b/>
          <w:i/>
        </w:rPr>
        <w:t>morale</w:t>
      </w:r>
      <w:r w:rsidRPr="003A315C">
        <w:rPr>
          <w:b/>
        </w:rPr>
        <w:t>]</w:t>
      </w:r>
    </w:p>
    <w:p w14:paraId="03FCA972" w14:textId="77777777" w:rsidR="00C640F3" w:rsidRDefault="00C640F3" w:rsidP="007B458A">
      <w:pPr>
        <w:rPr>
          <w:b/>
        </w:rPr>
      </w:pPr>
    </w:p>
    <w:p w14:paraId="0EFD37B5" w14:textId="77777777" w:rsidR="00DB05D9" w:rsidRDefault="003A2CF8" w:rsidP="007B458A">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003C5E7B" w:rsidRPr="003C5E7B">
        <w:rPr>
          <w:i/>
        </w:rPr>
        <w:t>[montant</w:t>
      </w:r>
      <w:r w:rsidRPr="003C5E7B">
        <w:rPr>
          <w:i/>
        </w:rPr>
        <w: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003C5E7B" w:rsidRPr="003C5E7B">
        <w:rPr>
          <w:i/>
        </w:rPr>
        <w:t>[adresse</w:t>
      </w:r>
      <w:r w:rsidRPr="003C5E7B">
        <w:rPr>
          <w:i/>
        </w:rPr>
        <w:t>]</w:t>
      </w:r>
      <w:r>
        <w:t>, agissant poursuites et diligences de ses représentants légaux domiciliés, en cette qualité, audit siège</w:t>
      </w:r>
    </w:p>
    <w:p w14:paraId="5D67E986" w14:textId="77777777" w:rsidR="00C03E29" w:rsidRDefault="00C03E29" w:rsidP="007B458A"/>
    <w:p w14:paraId="43DD0E5B" w14:textId="088F5CDB" w:rsidR="00224260" w:rsidRPr="00C03E29" w:rsidRDefault="00224260" w:rsidP="00224260">
      <w:pPr>
        <w:jc w:val="right"/>
        <w:rPr>
          <w:b/>
        </w:rPr>
      </w:pPr>
      <w:r>
        <w:rPr>
          <w:b/>
        </w:rPr>
        <w:t>DEMANDEUR/DÉFENDEUR</w:t>
      </w:r>
    </w:p>
    <w:p w14:paraId="234EE48F" w14:textId="77777777" w:rsidR="003A2CF8" w:rsidRDefault="003A2CF8" w:rsidP="007B458A"/>
    <w:p w14:paraId="580F1A53" w14:textId="77777777" w:rsidR="00450196" w:rsidRDefault="00450196" w:rsidP="007B458A"/>
    <w:p w14:paraId="24A31891" w14:textId="77777777" w:rsidR="00C640F3" w:rsidRDefault="00C640F3" w:rsidP="007B458A">
      <w:r w:rsidRPr="00C640F3">
        <w:rPr>
          <w:b/>
          <w:u w:val="single"/>
        </w:rPr>
        <w:t>Ayant pour avocat</w:t>
      </w:r>
      <w:r>
        <w:rPr>
          <w:b/>
          <w:u w:val="single"/>
        </w:rPr>
        <w:t xml:space="preserve"> constitué</w:t>
      </w:r>
      <w:r>
        <w:t xml:space="preserve"> :</w:t>
      </w:r>
    </w:p>
    <w:p w14:paraId="1FF24B9E" w14:textId="77777777" w:rsidR="00C640F3" w:rsidRDefault="00C640F3" w:rsidP="007B458A"/>
    <w:p w14:paraId="2D4BB72E" w14:textId="77777777" w:rsidR="003A2CF8" w:rsidRPr="003C5E7B" w:rsidRDefault="00C640F3" w:rsidP="007B458A">
      <w:pPr>
        <w:rPr>
          <w:i/>
        </w:rPr>
      </w:pPr>
      <w:r w:rsidRPr="00C640F3">
        <w:rPr>
          <w:b/>
        </w:rPr>
        <w:t xml:space="preserve">Maître </w:t>
      </w:r>
      <w:r w:rsidR="003C5E7B" w:rsidRPr="003C5E7B">
        <w:rPr>
          <w:b/>
          <w:i/>
        </w:rPr>
        <w:t>[nom</w:t>
      </w:r>
      <w:r w:rsidR="003C5E7B">
        <w:rPr>
          <w:b/>
          <w:i/>
        </w:rPr>
        <w:t>, prénom</w:t>
      </w:r>
      <w:r w:rsidR="003C5E7B" w:rsidRPr="003C5E7B">
        <w:rPr>
          <w:b/>
          <w:i/>
        </w:rPr>
        <w:t>]</w:t>
      </w:r>
      <w:r>
        <w:t xml:space="preserve">, Avocat inscrit au Barreau de </w:t>
      </w:r>
      <w:r w:rsidR="003C5E7B" w:rsidRPr="003C5E7B">
        <w:rPr>
          <w:i/>
        </w:rPr>
        <w:t>[ville]</w:t>
      </w:r>
      <w:r>
        <w:t xml:space="preserve">, y demeurant </w:t>
      </w:r>
      <w:r w:rsidRPr="003C5E7B">
        <w:rPr>
          <w:i/>
        </w:rPr>
        <w:t>[adresse]</w:t>
      </w:r>
    </w:p>
    <w:p w14:paraId="14E3CA0A" w14:textId="77777777" w:rsidR="00C640F3" w:rsidRDefault="00C640F3" w:rsidP="007B458A"/>
    <w:p w14:paraId="01CA9856" w14:textId="77777777" w:rsidR="00C640F3" w:rsidRPr="003A315C" w:rsidRDefault="00C640F3" w:rsidP="00C640F3">
      <w:pPr>
        <w:jc w:val="center"/>
        <w:rPr>
          <w:b/>
          <w:i/>
        </w:rPr>
      </w:pPr>
      <w:r w:rsidRPr="003A315C">
        <w:rPr>
          <w:b/>
        </w:rPr>
        <w:t>[</w:t>
      </w:r>
      <w:r w:rsidRPr="003A315C">
        <w:rPr>
          <w:b/>
          <w:i/>
        </w:rPr>
        <w:t>Si postulation</w:t>
      </w:r>
      <w:r w:rsidRPr="003A315C">
        <w:rPr>
          <w:b/>
        </w:rPr>
        <w:t>]</w:t>
      </w:r>
    </w:p>
    <w:p w14:paraId="5442BF48" w14:textId="77777777" w:rsidR="00C640F3" w:rsidRDefault="00C640F3" w:rsidP="007B458A"/>
    <w:p w14:paraId="1FB11529" w14:textId="77777777" w:rsidR="00C640F3" w:rsidRDefault="00C640F3" w:rsidP="007B458A">
      <w:r w:rsidRPr="00C640F3">
        <w:rPr>
          <w:b/>
          <w:u w:val="single"/>
        </w:rPr>
        <w:t>Ayant pour avocat plaidant</w:t>
      </w:r>
      <w:r>
        <w:t> :</w:t>
      </w:r>
    </w:p>
    <w:p w14:paraId="678594DE" w14:textId="77777777" w:rsidR="00C640F3" w:rsidRDefault="00C640F3" w:rsidP="007B458A"/>
    <w:p w14:paraId="0AACF3B9" w14:textId="77777777" w:rsidR="00C640F3" w:rsidRDefault="00C640F3" w:rsidP="00C640F3">
      <w:r w:rsidRPr="00C640F3">
        <w:rPr>
          <w:b/>
        </w:rPr>
        <w:t xml:space="preserve">Maître </w:t>
      </w:r>
      <w:r w:rsidR="003C5E7B" w:rsidRPr="003C5E7B">
        <w:rPr>
          <w:b/>
          <w:i/>
        </w:rPr>
        <w:t>[nom</w:t>
      </w:r>
      <w:r w:rsidR="003C5E7B">
        <w:rPr>
          <w:b/>
          <w:i/>
        </w:rPr>
        <w:t>, prénom</w:t>
      </w:r>
      <w:r w:rsidR="003C5E7B" w:rsidRPr="003C5E7B">
        <w:rPr>
          <w:b/>
          <w:i/>
        </w:rPr>
        <w:t>]</w:t>
      </w:r>
      <w:r>
        <w:t xml:space="preserve">, Avocat inscrit au Barreau de </w:t>
      </w:r>
      <w:r w:rsidR="003C5E7B" w:rsidRPr="003C5E7B">
        <w:rPr>
          <w:i/>
        </w:rPr>
        <w:t>[ville]</w:t>
      </w:r>
      <w:r>
        <w:t xml:space="preserve">, y demeurant </w:t>
      </w:r>
      <w:r w:rsidRPr="003C5E7B">
        <w:rPr>
          <w:i/>
        </w:rPr>
        <w:t>[adresse]</w:t>
      </w:r>
    </w:p>
    <w:p w14:paraId="280EC957" w14:textId="77777777" w:rsidR="00CA495E" w:rsidRDefault="00CA495E" w:rsidP="007B458A"/>
    <w:p w14:paraId="5A4ECCDF" w14:textId="77777777" w:rsidR="00CA495E" w:rsidRDefault="00CA495E" w:rsidP="007B458A"/>
    <w:p w14:paraId="1C165EAE" w14:textId="77777777" w:rsidR="00AF0331" w:rsidRPr="00CA495E" w:rsidRDefault="00CA495E" w:rsidP="007B458A">
      <w:pPr>
        <w:rPr>
          <w:b/>
        </w:rPr>
      </w:pPr>
      <w:r w:rsidRPr="00CA495E">
        <w:rPr>
          <w:b/>
          <w:u w:val="single"/>
        </w:rPr>
        <w:t>CONTRE</w:t>
      </w:r>
      <w:r w:rsidRPr="00CA495E">
        <w:rPr>
          <w:b/>
        </w:rPr>
        <w:t> :</w:t>
      </w:r>
    </w:p>
    <w:p w14:paraId="6F938B35" w14:textId="77777777" w:rsidR="00230E0B" w:rsidRDefault="00230E0B" w:rsidP="00230E0B"/>
    <w:p w14:paraId="0A5059FB" w14:textId="77777777" w:rsidR="00230E0B" w:rsidRPr="003A315C" w:rsidRDefault="00230E0B" w:rsidP="00230E0B">
      <w:pPr>
        <w:jc w:val="center"/>
        <w:rPr>
          <w:b/>
        </w:rPr>
      </w:pPr>
      <w:r w:rsidRPr="003A315C">
        <w:rPr>
          <w:b/>
        </w:rPr>
        <w:t>[</w:t>
      </w:r>
      <w:r w:rsidRPr="003A315C">
        <w:rPr>
          <w:b/>
          <w:i/>
        </w:rPr>
        <w:t>Si personne physique</w:t>
      </w:r>
      <w:r w:rsidRPr="003A315C">
        <w:rPr>
          <w:b/>
        </w:rPr>
        <w:t>]</w:t>
      </w:r>
    </w:p>
    <w:p w14:paraId="4798B10C" w14:textId="77777777" w:rsidR="00230E0B" w:rsidRDefault="00230E0B" w:rsidP="00230E0B">
      <w:pPr>
        <w:rPr>
          <w:b/>
        </w:rPr>
      </w:pPr>
    </w:p>
    <w:p w14:paraId="47CD0269" w14:textId="10CA39CD" w:rsidR="00230E0B" w:rsidRDefault="00230E0B" w:rsidP="00230E0B">
      <w:r w:rsidRPr="003A2CF8">
        <w:rPr>
          <w:b/>
        </w:rPr>
        <w:lastRenderedPageBreak/>
        <w:t>M</w:t>
      </w:r>
      <w:r>
        <w:rPr>
          <w:b/>
        </w:rPr>
        <w:t>onsieur</w:t>
      </w:r>
      <w:r w:rsidRPr="003A2CF8">
        <w:rPr>
          <w:b/>
        </w:rPr>
        <w:t xml:space="preserve"> ou </w:t>
      </w:r>
      <w:r>
        <w:rPr>
          <w:b/>
        </w:rPr>
        <w:t>Madame</w:t>
      </w:r>
      <w:r w:rsidRPr="003A2CF8">
        <w:rPr>
          <w:b/>
        </w:rPr>
        <w:t xml:space="preserve"> </w:t>
      </w:r>
      <w:r w:rsidRPr="003C5E7B">
        <w:rPr>
          <w:b/>
          <w:i/>
        </w:rPr>
        <w:t>[nom</w:t>
      </w:r>
      <w:r>
        <w:rPr>
          <w:b/>
          <w:i/>
        </w:rPr>
        <w:t>, prénom</w:t>
      </w:r>
      <w:r w:rsidRPr="003C5E7B">
        <w:rPr>
          <w:b/>
          <w:i/>
        </w:rPr>
        <w:t>]</w:t>
      </w:r>
      <w:r>
        <w:t xml:space="preserve">, né le </w:t>
      </w:r>
      <w:r w:rsidRPr="003C5E7B">
        <w:rPr>
          <w:i/>
        </w:rPr>
        <w:t>[date]</w:t>
      </w:r>
      <w:r>
        <w:t xml:space="preserve">, de nationalité </w:t>
      </w:r>
      <w:r w:rsidRPr="003C5E7B">
        <w:rPr>
          <w:i/>
        </w:rPr>
        <w:t>[pays]</w:t>
      </w:r>
      <w:r>
        <w:t xml:space="preserve">, </w:t>
      </w:r>
      <w:r w:rsidR="00D43986" w:rsidRPr="00A40AD5">
        <w:rPr>
          <w:i/>
        </w:rPr>
        <w:t>[profession]</w:t>
      </w:r>
      <w:r w:rsidR="00D43986">
        <w:t xml:space="preserve">, </w:t>
      </w:r>
      <w:r>
        <w:t xml:space="preserve">demeurant à </w:t>
      </w:r>
      <w:r w:rsidRPr="003C5E7B">
        <w:rPr>
          <w:i/>
        </w:rPr>
        <w:t>[adresse]</w:t>
      </w:r>
      <w:r>
        <w:t xml:space="preserve"> </w:t>
      </w:r>
    </w:p>
    <w:p w14:paraId="1EE242F3" w14:textId="77777777" w:rsidR="00230E0B" w:rsidRDefault="00230E0B" w:rsidP="00230E0B"/>
    <w:p w14:paraId="692F1EB8" w14:textId="77777777" w:rsidR="00230E0B" w:rsidRPr="003A315C" w:rsidRDefault="00230E0B" w:rsidP="00230E0B">
      <w:pPr>
        <w:jc w:val="center"/>
        <w:rPr>
          <w:b/>
        </w:rPr>
      </w:pPr>
      <w:r w:rsidRPr="003A315C">
        <w:rPr>
          <w:b/>
        </w:rPr>
        <w:t>[</w:t>
      </w:r>
      <w:r w:rsidRPr="003A315C">
        <w:rPr>
          <w:b/>
          <w:i/>
        </w:rPr>
        <w:t>Si personne morale</w:t>
      </w:r>
      <w:r w:rsidRPr="003A315C">
        <w:rPr>
          <w:b/>
        </w:rPr>
        <w:t>]</w:t>
      </w:r>
    </w:p>
    <w:p w14:paraId="4FBA6CC2" w14:textId="77777777" w:rsidR="00230E0B" w:rsidRDefault="00230E0B" w:rsidP="00230E0B">
      <w:pPr>
        <w:rPr>
          <w:b/>
        </w:rPr>
      </w:pPr>
    </w:p>
    <w:p w14:paraId="3DEB283E" w14:textId="0BFCBE54" w:rsidR="00230E0B" w:rsidRDefault="00230E0B" w:rsidP="00230E0B">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xml:space="preserve">, </w:t>
      </w:r>
      <w:r w:rsidR="00056988">
        <w:t xml:space="preserve">prise en la personne </w:t>
      </w:r>
      <w:r>
        <w:t>de ses représentants légaux domiciliés, en cette qualité, audit siège</w:t>
      </w:r>
    </w:p>
    <w:p w14:paraId="01739D3B" w14:textId="77777777" w:rsidR="00230E0B" w:rsidRDefault="00230E0B" w:rsidP="00230E0B"/>
    <w:p w14:paraId="44777413" w14:textId="791E0433" w:rsidR="00160593" w:rsidRPr="00C03E29" w:rsidRDefault="00A057D4" w:rsidP="00160593">
      <w:pPr>
        <w:jc w:val="right"/>
        <w:rPr>
          <w:b/>
        </w:rPr>
      </w:pPr>
      <w:r>
        <w:rPr>
          <w:b/>
        </w:rPr>
        <w:t>DEMANDEUR/DÉFENDEUR</w:t>
      </w:r>
    </w:p>
    <w:p w14:paraId="012A8042" w14:textId="77777777" w:rsidR="00C03E29" w:rsidRDefault="00C03E29" w:rsidP="00230E0B"/>
    <w:p w14:paraId="56871774" w14:textId="77777777" w:rsidR="00C03E29" w:rsidRDefault="00C03E29" w:rsidP="00230E0B"/>
    <w:p w14:paraId="4B639795" w14:textId="77777777" w:rsidR="00230E0B" w:rsidRDefault="00230E0B" w:rsidP="00230E0B">
      <w:r w:rsidRPr="00C640F3">
        <w:rPr>
          <w:b/>
          <w:u w:val="single"/>
        </w:rPr>
        <w:t>Ayant pour avocat</w:t>
      </w:r>
      <w:r>
        <w:rPr>
          <w:b/>
          <w:u w:val="single"/>
        </w:rPr>
        <w:t xml:space="preserve"> constitué</w:t>
      </w:r>
      <w:r>
        <w:t xml:space="preserve"> :</w:t>
      </w:r>
    </w:p>
    <w:p w14:paraId="46BAFCFB" w14:textId="77777777" w:rsidR="00230E0B" w:rsidRDefault="00230E0B" w:rsidP="00230E0B"/>
    <w:p w14:paraId="0E8803ED" w14:textId="77777777" w:rsidR="00230E0B" w:rsidRPr="003C5E7B" w:rsidRDefault="00230E0B" w:rsidP="00230E0B">
      <w:pPr>
        <w:rPr>
          <w:i/>
        </w:rPr>
      </w:pPr>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EB7BD26" w14:textId="77777777" w:rsidR="00230E0B" w:rsidRDefault="00230E0B" w:rsidP="00230E0B"/>
    <w:p w14:paraId="2911DB16" w14:textId="77777777" w:rsidR="003A7ACA" w:rsidRDefault="003A7ACA" w:rsidP="00230E0B"/>
    <w:p w14:paraId="79E04905" w14:textId="77777777" w:rsidR="00230E0B" w:rsidRPr="003A315C" w:rsidRDefault="00230E0B" w:rsidP="00230E0B">
      <w:pPr>
        <w:jc w:val="center"/>
        <w:rPr>
          <w:b/>
          <w:i/>
        </w:rPr>
      </w:pPr>
      <w:r w:rsidRPr="003A315C">
        <w:rPr>
          <w:b/>
        </w:rPr>
        <w:t>[</w:t>
      </w:r>
      <w:r w:rsidRPr="003A315C">
        <w:rPr>
          <w:b/>
          <w:i/>
        </w:rPr>
        <w:t>Si postulation</w:t>
      </w:r>
      <w:r w:rsidRPr="003A315C">
        <w:rPr>
          <w:b/>
        </w:rPr>
        <w:t>]</w:t>
      </w:r>
    </w:p>
    <w:p w14:paraId="2C5E4C70" w14:textId="77777777" w:rsidR="00230E0B" w:rsidRDefault="00230E0B" w:rsidP="00230E0B"/>
    <w:p w14:paraId="38A735D6" w14:textId="77777777" w:rsidR="00230E0B" w:rsidRDefault="00230E0B" w:rsidP="00230E0B">
      <w:r w:rsidRPr="00C640F3">
        <w:rPr>
          <w:b/>
          <w:u w:val="single"/>
        </w:rPr>
        <w:t>Ayant pour avocat plaidant</w:t>
      </w:r>
      <w:r>
        <w:t> :</w:t>
      </w:r>
    </w:p>
    <w:p w14:paraId="01C921B9" w14:textId="77777777" w:rsidR="00230E0B" w:rsidRDefault="00230E0B" w:rsidP="00230E0B"/>
    <w:p w14:paraId="1C1F548E" w14:textId="77777777" w:rsidR="00230E0B" w:rsidRDefault="00230E0B" w:rsidP="00230E0B">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78FB94B7" w14:textId="77777777" w:rsidR="00230E0B" w:rsidRDefault="00230E0B" w:rsidP="00230E0B"/>
    <w:p w14:paraId="5EFA7808" w14:textId="77777777" w:rsidR="00AE1446" w:rsidRDefault="00AE1446" w:rsidP="00230E0B"/>
    <w:p w14:paraId="49DBC710" w14:textId="77777777" w:rsidR="00AE1446" w:rsidRDefault="00AE1446" w:rsidP="00230E0B"/>
    <w:p w14:paraId="6492A3E5" w14:textId="2826C207" w:rsidR="00AE1446" w:rsidRPr="00AE1446" w:rsidRDefault="00AE1446" w:rsidP="00230E0B">
      <w:pPr>
        <w:rPr>
          <w:b/>
        </w:rPr>
      </w:pPr>
      <w:r w:rsidRPr="00AE1446">
        <w:rPr>
          <w:b/>
          <w:u w:val="single"/>
        </w:rPr>
        <w:t>EN PRÉSENCE DE</w:t>
      </w:r>
      <w:r w:rsidRPr="00AE1446">
        <w:rPr>
          <w:b/>
        </w:rPr>
        <w:t> :</w:t>
      </w:r>
    </w:p>
    <w:p w14:paraId="68A678BB" w14:textId="77777777" w:rsidR="00AE1446" w:rsidRDefault="00AE1446" w:rsidP="00230E0B"/>
    <w:p w14:paraId="3B965C1C" w14:textId="77777777" w:rsidR="00AE1446" w:rsidRPr="003A315C" w:rsidRDefault="00AE1446" w:rsidP="00AE1446">
      <w:pPr>
        <w:jc w:val="center"/>
        <w:rPr>
          <w:b/>
        </w:rPr>
      </w:pPr>
      <w:r w:rsidRPr="003A315C">
        <w:rPr>
          <w:b/>
        </w:rPr>
        <w:t>[</w:t>
      </w:r>
      <w:r w:rsidRPr="003A315C">
        <w:rPr>
          <w:b/>
          <w:i/>
        </w:rPr>
        <w:t>Si personne physique</w:t>
      </w:r>
      <w:r w:rsidRPr="003A315C">
        <w:rPr>
          <w:b/>
        </w:rPr>
        <w:t>]</w:t>
      </w:r>
    </w:p>
    <w:p w14:paraId="12586103" w14:textId="77777777" w:rsidR="00AE1446" w:rsidRDefault="00AE1446" w:rsidP="00AE1446">
      <w:pPr>
        <w:rPr>
          <w:b/>
        </w:rPr>
      </w:pPr>
    </w:p>
    <w:p w14:paraId="638E6476" w14:textId="391838DA" w:rsidR="00AE1446" w:rsidRDefault="00AE1446" w:rsidP="00AE1446">
      <w:r w:rsidRPr="003A2CF8">
        <w:rPr>
          <w:b/>
        </w:rPr>
        <w:t>M</w:t>
      </w:r>
      <w:r>
        <w:rPr>
          <w:b/>
        </w:rPr>
        <w:t>onsieur</w:t>
      </w:r>
      <w:r w:rsidRPr="003A2CF8">
        <w:rPr>
          <w:b/>
        </w:rPr>
        <w:t xml:space="preserve"> ou </w:t>
      </w:r>
      <w:r>
        <w:rPr>
          <w:b/>
        </w:rPr>
        <w:t>Madame</w:t>
      </w:r>
      <w:r w:rsidRPr="003A2CF8">
        <w:rPr>
          <w:b/>
        </w:rPr>
        <w:t xml:space="preserve"> </w:t>
      </w:r>
      <w:r w:rsidRPr="003C5E7B">
        <w:rPr>
          <w:b/>
          <w:i/>
        </w:rPr>
        <w:t>[nom</w:t>
      </w:r>
      <w:r>
        <w:rPr>
          <w:b/>
          <w:i/>
        </w:rPr>
        <w:t>, prénom</w:t>
      </w:r>
      <w:r w:rsidRPr="003C5E7B">
        <w:rPr>
          <w:b/>
          <w:i/>
        </w:rPr>
        <w:t>]</w:t>
      </w:r>
      <w:r>
        <w:t xml:space="preserve">, né le </w:t>
      </w:r>
      <w:r w:rsidRPr="003C5E7B">
        <w:rPr>
          <w:i/>
        </w:rPr>
        <w:t>[date]</w:t>
      </w:r>
      <w:r>
        <w:t xml:space="preserve">, de nationalité </w:t>
      </w:r>
      <w:r w:rsidRPr="003C5E7B">
        <w:rPr>
          <w:i/>
        </w:rPr>
        <w:t>[pays]</w:t>
      </w:r>
      <w:r>
        <w:t xml:space="preserve">, </w:t>
      </w:r>
      <w:r w:rsidR="00D43986" w:rsidRPr="00A40AD5">
        <w:rPr>
          <w:i/>
        </w:rPr>
        <w:t>[profession]</w:t>
      </w:r>
      <w:r w:rsidR="00D43986">
        <w:t xml:space="preserve">, </w:t>
      </w:r>
      <w:r>
        <w:t xml:space="preserve">demeurant à </w:t>
      </w:r>
      <w:r w:rsidRPr="003C5E7B">
        <w:rPr>
          <w:i/>
        </w:rPr>
        <w:t>[adresse]</w:t>
      </w:r>
      <w:r>
        <w:t>, [</w:t>
      </w:r>
    </w:p>
    <w:p w14:paraId="68B101CB" w14:textId="77777777" w:rsidR="00AE1446" w:rsidRDefault="00AE1446" w:rsidP="00AE1446"/>
    <w:p w14:paraId="699EBD68" w14:textId="77777777" w:rsidR="00AE1446" w:rsidRPr="003A315C" w:rsidRDefault="00AE1446" w:rsidP="00AE1446">
      <w:pPr>
        <w:jc w:val="center"/>
        <w:rPr>
          <w:b/>
        </w:rPr>
      </w:pPr>
      <w:r w:rsidRPr="003A315C">
        <w:rPr>
          <w:b/>
        </w:rPr>
        <w:t>[</w:t>
      </w:r>
      <w:r w:rsidRPr="003A315C">
        <w:rPr>
          <w:b/>
          <w:i/>
        </w:rPr>
        <w:t>Si personne morale</w:t>
      </w:r>
      <w:r w:rsidRPr="003A315C">
        <w:rPr>
          <w:b/>
        </w:rPr>
        <w:t>]</w:t>
      </w:r>
    </w:p>
    <w:p w14:paraId="09D537DE" w14:textId="77777777" w:rsidR="00AE1446" w:rsidRDefault="00AE1446" w:rsidP="00AE1446">
      <w:pPr>
        <w:rPr>
          <w:b/>
        </w:rPr>
      </w:pPr>
    </w:p>
    <w:p w14:paraId="53CD0781" w14:textId="30F7ADC8" w:rsidR="00AE1446" w:rsidRDefault="00AE1446" w:rsidP="00AE1446">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xml:space="preserve">, </w:t>
      </w:r>
      <w:r w:rsidR="00C67363">
        <w:t xml:space="preserve">prise en la personne </w:t>
      </w:r>
      <w:r>
        <w:t>de ses représentants légaux domiciliés, en cette qualité, audit siège</w:t>
      </w:r>
    </w:p>
    <w:p w14:paraId="6B645BC3" w14:textId="1BF919AE" w:rsidR="00AE1446" w:rsidRDefault="00AE1446" w:rsidP="00230E0B"/>
    <w:p w14:paraId="4E2AECFF" w14:textId="103272D5" w:rsidR="00243970" w:rsidRPr="00C03E29" w:rsidRDefault="00CE53CD" w:rsidP="00243970">
      <w:pPr>
        <w:jc w:val="right"/>
        <w:rPr>
          <w:b/>
        </w:rPr>
      </w:pPr>
      <w:r>
        <w:rPr>
          <w:b/>
        </w:rPr>
        <w:t>DEMANDEUR/DÉFENDEUR</w:t>
      </w:r>
    </w:p>
    <w:p w14:paraId="3E5AF982" w14:textId="77777777" w:rsidR="00AE1446" w:rsidRDefault="00AE1446" w:rsidP="00230E0B"/>
    <w:p w14:paraId="7AC7A4ED" w14:textId="77777777" w:rsidR="00450196" w:rsidRDefault="00450196" w:rsidP="00230E0B"/>
    <w:p w14:paraId="52BDF449" w14:textId="77777777" w:rsidR="00110789" w:rsidRDefault="00110789" w:rsidP="00110789">
      <w:r w:rsidRPr="00C640F3">
        <w:rPr>
          <w:b/>
          <w:u w:val="single"/>
        </w:rPr>
        <w:t>Ayant pour avocat</w:t>
      </w:r>
      <w:r>
        <w:rPr>
          <w:b/>
          <w:u w:val="single"/>
        </w:rPr>
        <w:t xml:space="preserve"> constitué</w:t>
      </w:r>
      <w:r>
        <w:t xml:space="preserve"> :</w:t>
      </w:r>
    </w:p>
    <w:p w14:paraId="5C518822" w14:textId="77777777" w:rsidR="00110789" w:rsidRDefault="00110789" w:rsidP="00110789"/>
    <w:p w14:paraId="3EE0649B" w14:textId="77777777" w:rsidR="00110789" w:rsidRPr="003C5E7B" w:rsidRDefault="00110789" w:rsidP="00110789">
      <w:pPr>
        <w:rPr>
          <w:i/>
        </w:rPr>
      </w:pPr>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3D7D2BE" w14:textId="77777777" w:rsidR="00110789" w:rsidRDefault="00110789" w:rsidP="00110789"/>
    <w:p w14:paraId="2D0E9B48" w14:textId="77777777" w:rsidR="003A7ACA" w:rsidRDefault="003A7ACA" w:rsidP="00110789"/>
    <w:p w14:paraId="49BC9811" w14:textId="77777777" w:rsidR="00110789" w:rsidRPr="003A315C" w:rsidRDefault="00110789" w:rsidP="00110789">
      <w:pPr>
        <w:jc w:val="center"/>
        <w:rPr>
          <w:b/>
          <w:i/>
        </w:rPr>
      </w:pPr>
      <w:r w:rsidRPr="003A315C">
        <w:rPr>
          <w:b/>
        </w:rPr>
        <w:t>[</w:t>
      </w:r>
      <w:r w:rsidRPr="003A315C">
        <w:rPr>
          <w:b/>
          <w:i/>
        </w:rPr>
        <w:t>Si postulation</w:t>
      </w:r>
      <w:r w:rsidRPr="003A315C">
        <w:rPr>
          <w:b/>
        </w:rPr>
        <w:t>]</w:t>
      </w:r>
    </w:p>
    <w:p w14:paraId="6322A43B" w14:textId="77777777" w:rsidR="00110789" w:rsidRDefault="00110789" w:rsidP="00110789"/>
    <w:p w14:paraId="43036664" w14:textId="77777777" w:rsidR="00110789" w:rsidRDefault="00110789" w:rsidP="00110789">
      <w:r w:rsidRPr="00C640F3">
        <w:rPr>
          <w:b/>
          <w:u w:val="single"/>
        </w:rPr>
        <w:lastRenderedPageBreak/>
        <w:t>Ayant pour avocat plaidant</w:t>
      </w:r>
      <w:r>
        <w:t> :</w:t>
      </w:r>
    </w:p>
    <w:p w14:paraId="747BE6F0" w14:textId="77777777" w:rsidR="00110789" w:rsidRDefault="00110789" w:rsidP="00110789"/>
    <w:p w14:paraId="50577282" w14:textId="77777777" w:rsidR="00110789" w:rsidRDefault="00110789" w:rsidP="00110789">
      <w:r w:rsidRPr="00C640F3">
        <w:rPr>
          <w:b/>
        </w:rPr>
        <w:t xml:space="preserve">Maître </w:t>
      </w:r>
      <w:r w:rsidRPr="003C5E7B">
        <w:rPr>
          <w:b/>
          <w:i/>
        </w:rPr>
        <w:t>[nom</w:t>
      </w:r>
      <w:r>
        <w:rPr>
          <w:b/>
          <w:i/>
        </w:rPr>
        <w:t>, prénom</w:t>
      </w:r>
      <w:r w:rsidRPr="003C5E7B">
        <w:rPr>
          <w:b/>
          <w:i/>
        </w:rPr>
        <w:t>]</w:t>
      </w:r>
      <w:r>
        <w:t xml:space="preserve">, Avocat inscrit au Barreau de </w:t>
      </w:r>
      <w:r w:rsidRPr="003C5E7B">
        <w:rPr>
          <w:i/>
        </w:rPr>
        <w:t>[ville]</w:t>
      </w:r>
      <w:r>
        <w:t xml:space="preserve">, y demeurant </w:t>
      </w:r>
      <w:r w:rsidRPr="003C5E7B">
        <w:rPr>
          <w:i/>
        </w:rPr>
        <w:t>[adresse]</w:t>
      </w:r>
    </w:p>
    <w:p w14:paraId="45D0BFAA" w14:textId="77777777" w:rsidR="00110789" w:rsidRDefault="00110789" w:rsidP="00110789"/>
    <w:p w14:paraId="66852C1C" w14:textId="77777777" w:rsidR="00230E0B" w:rsidRDefault="00230E0B" w:rsidP="007B458A"/>
    <w:p w14:paraId="1DFA234A" w14:textId="77777777" w:rsidR="00230E0B" w:rsidRDefault="00230E0B">
      <w:pPr>
        <w:jc w:val="left"/>
      </w:pPr>
      <w:r>
        <w:br w:type="page"/>
      </w:r>
    </w:p>
    <w:p w14:paraId="20287DB0" w14:textId="77777777" w:rsidR="00230E0B" w:rsidRDefault="00230E0B" w:rsidP="007B458A"/>
    <w:p w14:paraId="4C6A9E6E" w14:textId="6D4B1C1B" w:rsidR="007B458A" w:rsidRPr="00363F2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highlight w:val="yellow"/>
          <w:u w:val="none"/>
        </w:rPr>
      </w:pPr>
      <w:r w:rsidRPr="00363F22">
        <w:rPr>
          <w:u w:val="none"/>
        </w:rPr>
        <w:t xml:space="preserve">PLAISE AU </w:t>
      </w:r>
      <w:r w:rsidR="00BE382C">
        <w:rPr>
          <w:u w:val="none"/>
        </w:rPr>
        <w:t>JUGE DE LA MISE EN ÉTAT</w:t>
      </w:r>
    </w:p>
    <w:p w14:paraId="314CC578" w14:textId="7DA18E73" w:rsidR="007B458A" w:rsidRDefault="007B458A" w:rsidP="007B458A">
      <w:pPr>
        <w:rPr>
          <w:highlight w:val="yellow"/>
        </w:rPr>
      </w:pPr>
    </w:p>
    <w:p w14:paraId="2E03CC01" w14:textId="77777777" w:rsidR="0088085A" w:rsidRDefault="0088085A" w:rsidP="0088085A">
      <w:r>
        <w:t xml:space="preserve">Suivant exploit d’huissier de justice délivré en date du </w:t>
      </w:r>
      <w:r w:rsidRPr="00035B3C">
        <w:rPr>
          <w:i/>
        </w:rPr>
        <w:t>[date]</w:t>
      </w:r>
      <w:r>
        <w:t xml:space="preserve">, </w:t>
      </w:r>
      <w:r w:rsidRPr="00035B3C">
        <w:rPr>
          <w:i/>
        </w:rPr>
        <w:t>[Identité du demandeur]</w:t>
      </w:r>
      <w:r>
        <w:t xml:space="preserve"> a attrait </w:t>
      </w:r>
      <w:r w:rsidRPr="00035B3C">
        <w:rPr>
          <w:i/>
        </w:rPr>
        <w:t>[identité du ou des défendeur(s)]</w:t>
      </w:r>
      <w:r>
        <w:t xml:space="preserve"> devant le Tribunal de céans aux fins de voir : </w:t>
      </w:r>
    </w:p>
    <w:p w14:paraId="62B600DA" w14:textId="77777777" w:rsidR="0088085A" w:rsidRDefault="0088085A" w:rsidP="0088085A"/>
    <w:p w14:paraId="7B4B97C3" w14:textId="77777777" w:rsidR="0088085A" w:rsidRPr="00035B3C" w:rsidRDefault="0088085A" w:rsidP="0088085A">
      <w:pPr>
        <w:jc w:val="center"/>
        <w:rPr>
          <w:i/>
        </w:rPr>
      </w:pPr>
      <w:r w:rsidRPr="00035B3C">
        <w:rPr>
          <w:i/>
        </w:rPr>
        <w:t>[Énoncer le dispositif de l’assignation]</w:t>
      </w:r>
    </w:p>
    <w:p w14:paraId="1E0A1B9D" w14:textId="77777777" w:rsidR="0088085A" w:rsidRDefault="0088085A" w:rsidP="0088085A"/>
    <w:p w14:paraId="04D20E9C" w14:textId="342729B6" w:rsidR="0088085A" w:rsidRDefault="0088085A" w:rsidP="0088085A">
      <w:r>
        <w:t xml:space="preserve">Toutefois, </w:t>
      </w:r>
      <w:r w:rsidR="00FD26AF">
        <w:t>le Tribunal de céans est incompétent pour connaître de la demande qui il est adressée</w:t>
      </w:r>
      <w:r w:rsidR="00EB3DF6">
        <w:t xml:space="preserve"> </w:t>
      </w:r>
      <w:r>
        <w:t>ainsi qu’il le sera démontré ci-après.</w:t>
      </w:r>
    </w:p>
    <w:p w14:paraId="205D1538" w14:textId="77777777" w:rsidR="0088085A" w:rsidRDefault="0088085A" w:rsidP="007B458A">
      <w:pPr>
        <w:rPr>
          <w:highlight w:val="yellow"/>
        </w:rPr>
      </w:pPr>
    </w:p>
    <w:p w14:paraId="69404876" w14:textId="77777777" w:rsidR="007B458A" w:rsidRPr="004731E2" w:rsidRDefault="004731E2" w:rsidP="004731E2">
      <w:pPr>
        <w:numPr>
          <w:ilvl w:val="0"/>
          <w:numId w:val="2"/>
        </w:numPr>
        <w:rPr>
          <w:b/>
          <w:u w:val="single"/>
        </w:rPr>
      </w:pPr>
      <w:r w:rsidRPr="004731E2">
        <w:rPr>
          <w:b/>
          <w:u w:val="single"/>
        </w:rPr>
        <w:t xml:space="preserve">RAPPEL DES </w:t>
      </w:r>
      <w:r w:rsidR="0001715E">
        <w:rPr>
          <w:b/>
          <w:u w:val="single"/>
        </w:rPr>
        <w:t>FAITS</w:t>
      </w:r>
    </w:p>
    <w:p w14:paraId="6228B5BA" w14:textId="77777777" w:rsidR="004731E2" w:rsidRDefault="004731E2" w:rsidP="007B458A"/>
    <w:p w14:paraId="4ED078C3" w14:textId="3D442F86" w:rsidR="001174B9" w:rsidRDefault="00865B99" w:rsidP="00865B99">
      <w:pPr>
        <w:pStyle w:val="Paragraphedeliste"/>
        <w:numPr>
          <w:ilvl w:val="0"/>
          <w:numId w:val="9"/>
        </w:numPr>
      </w:pPr>
      <w:r>
        <w:t>Expos</w:t>
      </w:r>
      <w:r w:rsidR="00067AD4">
        <w:t>er</w:t>
      </w:r>
      <w:r>
        <w:t xml:space="preserve"> </w:t>
      </w:r>
      <w:r w:rsidR="00067AD4">
        <w:t>l</w:t>
      </w:r>
      <w:r>
        <w:t xml:space="preserve">es </w:t>
      </w:r>
      <w:r w:rsidR="00067AD4">
        <w:t xml:space="preserve">faits de façon synthétique et objective, tel qu’ils pourraient être énoncés dans </w:t>
      </w:r>
      <w:r w:rsidR="003B06BA">
        <w:t>la décision</w:t>
      </w:r>
      <w:r w:rsidR="00067AD4">
        <w:t xml:space="preserve"> à intervenir</w:t>
      </w:r>
    </w:p>
    <w:p w14:paraId="2EB5A2AA" w14:textId="77777777" w:rsidR="00067AD4" w:rsidRDefault="00067AD4" w:rsidP="00067AD4"/>
    <w:p w14:paraId="092E14B9" w14:textId="77777777" w:rsidR="00865B99" w:rsidRDefault="009216ED" w:rsidP="00865B99">
      <w:pPr>
        <w:pStyle w:val="Paragraphedeliste"/>
        <w:numPr>
          <w:ilvl w:val="0"/>
          <w:numId w:val="9"/>
        </w:numPr>
      </w:pPr>
      <w:r>
        <w:t>Chaque élément de fait doit</w:t>
      </w:r>
      <w:r w:rsidR="00F52010">
        <w:t>, en toute rigueur,</w:t>
      </w:r>
      <w:r>
        <w:t xml:space="preserve"> être</w:t>
      </w:r>
      <w:r w:rsidR="00F52010">
        <w:t xml:space="preserve"> justifié au moyen d’une pièce </w:t>
      </w:r>
      <w:r w:rsidR="005F7BD6">
        <w:t>visée dans le bordereau joint en annexe, numérotée et communiquée à la partie adverse et au juge</w:t>
      </w:r>
    </w:p>
    <w:p w14:paraId="47DDC331" w14:textId="77777777" w:rsidR="0001715E" w:rsidRDefault="0001715E" w:rsidP="007B458A"/>
    <w:p w14:paraId="2195FB4E" w14:textId="77777777" w:rsidR="0001715E" w:rsidRDefault="0001715E" w:rsidP="007B458A"/>
    <w:p w14:paraId="11D6A446" w14:textId="77777777" w:rsidR="004731E2" w:rsidRPr="004731E2" w:rsidRDefault="004731E2" w:rsidP="004731E2">
      <w:pPr>
        <w:numPr>
          <w:ilvl w:val="0"/>
          <w:numId w:val="2"/>
        </w:numPr>
        <w:rPr>
          <w:b/>
          <w:u w:val="single"/>
        </w:rPr>
      </w:pPr>
      <w:r w:rsidRPr="004731E2">
        <w:rPr>
          <w:b/>
          <w:u w:val="single"/>
        </w:rPr>
        <w:t>DISCUSSION</w:t>
      </w:r>
    </w:p>
    <w:p w14:paraId="79A901EC" w14:textId="77777777" w:rsidR="00AD5096" w:rsidRDefault="00AD5096" w:rsidP="00290A87"/>
    <w:p w14:paraId="63BBBDB5" w14:textId="2898D426" w:rsidR="00AD5096" w:rsidRPr="00AD5096" w:rsidRDefault="00FE480E" w:rsidP="00AD5096">
      <w:pPr>
        <w:pStyle w:val="Paragraphedeliste"/>
        <w:numPr>
          <w:ilvl w:val="0"/>
          <w:numId w:val="14"/>
        </w:numPr>
        <w:rPr>
          <w:b/>
          <w:u w:val="single"/>
        </w:rPr>
      </w:pPr>
      <w:r w:rsidRPr="00FE480E">
        <w:rPr>
          <w:b/>
          <w:i/>
          <w:iCs/>
          <w:u w:val="single"/>
        </w:rPr>
        <w:t>In limine litis</w:t>
      </w:r>
      <w:r w:rsidR="0088085A">
        <w:rPr>
          <w:b/>
          <w:u w:val="single"/>
        </w:rPr>
        <w:t xml:space="preserve">, </w:t>
      </w:r>
      <w:r>
        <w:rPr>
          <w:b/>
          <w:u w:val="single"/>
        </w:rPr>
        <w:t>sur l</w:t>
      </w:r>
      <w:r w:rsidR="00A20780">
        <w:rPr>
          <w:b/>
          <w:u w:val="single"/>
        </w:rPr>
        <w:t>’incompétence du Tribunal</w:t>
      </w:r>
    </w:p>
    <w:p w14:paraId="372EE9B1" w14:textId="77777777" w:rsidR="00FD1BF8" w:rsidRDefault="00FD1BF8" w:rsidP="00AD5096"/>
    <w:p w14:paraId="52E7270F" w14:textId="486208DE" w:rsidR="003B06BA" w:rsidRPr="00A20780" w:rsidRDefault="00472132" w:rsidP="00A20780">
      <w:pPr>
        <w:pStyle w:val="Paragraphedeliste"/>
        <w:numPr>
          <w:ilvl w:val="0"/>
          <w:numId w:val="19"/>
        </w:numPr>
        <w:rPr>
          <w:b/>
        </w:rPr>
      </w:pPr>
      <w:r w:rsidRPr="00A20780">
        <w:rPr>
          <w:b/>
          <w:u w:val="single"/>
        </w:rPr>
        <w:t>En droit</w:t>
      </w:r>
    </w:p>
    <w:p w14:paraId="6EB5E38A" w14:textId="77777777" w:rsidR="003B06BA" w:rsidRDefault="003B06BA" w:rsidP="00AD5096"/>
    <w:p w14:paraId="55AC9594" w14:textId="0729D804" w:rsidR="00FE480E" w:rsidRPr="00FE480E" w:rsidRDefault="00FE480E" w:rsidP="00FE480E">
      <w:r w:rsidRPr="00FE480E">
        <w:rPr>
          <w:u w:val="single"/>
        </w:rPr>
        <w:t>L’article 771, 1</w:t>
      </w:r>
      <w:r w:rsidRPr="00FE480E">
        <w:t>° du CPC dispose</w:t>
      </w:r>
      <w:r w:rsidR="00533943">
        <w:t xml:space="preserve"> </w:t>
      </w:r>
      <w:r w:rsidRPr="00FE480E">
        <w:t xml:space="preserve">que </w:t>
      </w:r>
      <w:r>
        <w:t>« </w:t>
      </w:r>
      <w:r w:rsidRPr="00FE480E">
        <w:rPr>
          <w:i/>
          <w:iCs/>
        </w:rPr>
        <w:t>lorsque la demande est présentée postérieurement à sa désignation, le juge de la mise en état est, jusqu’à son dessaisissement, seul compétent, à l’exclusion de toute autre formation du tribunal, pour […] statuer sur les exceptions de procédure, les demandes formées en application de l’article 47 et sur les incidents mettant fin à l’instance ; les parties ne sont plus recevables à soulever ces exceptions et incidents ultérieurement à moins qu’ils ne surviennent ou soient révélés postérieurement au dessaisissement du juge</w:t>
      </w:r>
      <w:r>
        <w:t> ».</w:t>
      </w:r>
    </w:p>
    <w:p w14:paraId="58F3236F" w14:textId="77777777" w:rsidR="00FE480E" w:rsidRPr="00FE480E" w:rsidRDefault="00FE480E" w:rsidP="00FE480E"/>
    <w:p w14:paraId="02A33CE8" w14:textId="7EE54287" w:rsidR="00FE480E" w:rsidRPr="00FE480E" w:rsidRDefault="00FE480E" w:rsidP="00FE480E">
      <w:r w:rsidRPr="00FE480E">
        <w:t>Il ressort de cette disposition que le Juge de la mise en état est investi du pouvoir de connaître des exceptions de procédure.</w:t>
      </w:r>
    </w:p>
    <w:p w14:paraId="33B4DCC9" w14:textId="77777777" w:rsidR="00FE480E" w:rsidRPr="00FE480E" w:rsidRDefault="00FE480E" w:rsidP="00FE480E"/>
    <w:p w14:paraId="3C86D041" w14:textId="0C597FD7" w:rsidR="00FE480E" w:rsidRPr="00FE480E" w:rsidRDefault="00FE480E" w:rsidP="00FE480E">
      <w:r w:rsidRPr="00FE480E">
        <w:rPr>
          <w:u w:val="single"/>
        </w:rPr>
        <w:t>L’article 73</w:t>
      </w:r>
      <w:r w:rsidRPr="00FE480E">
        <w:t xml:space="preserve"> du CPC définit l’exception de procédure comme </w:t>
      </w:r>
      <w:r>
        <w:t>« </w:t>
      </w:r>
      <w:r w:rsidRPr="00077A34">
        <w:rPr>
          <w:i/>
          <w:iCs/>
        </w:rPr>
        <w:t>tout moyen qui tend soit à faire déclarer la procédure irrégulière ou éteinte, soit à en suspendre le cours</w:t>
      </w:r>
      <w:r w:rsidRPr="00FE480E">
        <w:t>.</w:t>
      </w:r>
      <w:r w:rsidR="00077A34">
        <w:t> »</w:t>
      </w:r>
    </w:p>
    <w:p w14:paraId="1AF02129" w14:textId="77777777" w:rsidR="00FE480E" w:rsidRPr="00FE480E" w:rsidRDefault="00FE480E" w:rsidP="00FE480E"/>
    <w:p w14:paraId="2BF1CDC3" w14:textId="2C2F966C" w:rsidR="00B84877" w:rsidRDefault="00FE480E" w:rsidP="002414FD">
      <w:r w:rsidRPr="00FE480E">
        <w:t>Au nombre des exceptions de procédure figurent</w:t>
      </w:r>
      <w:r w:rsidR="00077A34">
        <w:t xml:space="preserve"> notamment </w:t>
      </w:r>
      <w:r w:rsidR="00A20780">
        <w:t xml:space="preserve">l’exception d’incompétence régie par les </w:t>
      </w:r>
      <w:r w:rsidR="00A20780" w:rsidRPr="00A20780">
        <w:rPr>
          <w:u w:val="single"/>
        </w:rPr>
        <w:t>articles 75 à 91</w:t>
      </w:r>
      <w:r w:rsidR="00A20780">
        <w:t xml:space="preserve"> du Code de procédure civile. </w:t>
      </w:r>
    </w:p>
    <w:p w14:paraId="64513700" w14:textId="1AB7D614" w:rsidR="002414FD" w:rsidRDefault="002414FD" w:rsidP="002414FD"/>
    <w:p w14:paraId="69EA61E3" w14:textId="77777777" w:rsidR="00A20780" w:rsidRDefault="00A20780" w:rsidP="00A20780">
      <w:r>
        <w:t>Le moyen tiré de l’incompétence consiste à contester à la juridiction saisie :</w:t>
      </w:r>
    </w:p>
    <w:p w14:paraId="5FBA21E5" w14:textId="77777777" w:rsidR="00A20780" w:rsidRDefault="00A20780" w:rsidP="00A20780"/>
    <w:p w14:paraId="02B345A2" w14:textId="77777777" w:rsidR="00A20780" w:rsidRDefault="00A20780" w:rsidP="00A20780">
      <w:pPr>
        <w:pStyle w:val="Paragraphedeliste"/>
        <w:numPr>
          <w:ilvl w:val="0"/>
          <w:numId w:val="9"/>
        </w:numPr>
        <w:jc w:val="both"/>
      </w:pPr>
      <w:r>
        <w:t>Soit sa compétence matérielle</w:t>
      </w:r>
    </w:p>
    <w:p w14:paraId="3282F97F" w14:textId="77777777" w:rsidR="00A20780" w:rsidRDefault="00A20780" w:rsidP="00A20780">
      <w:pPr>
        <w:pStyle w:val="Paragraphedeliste"/>
        <w:numPr>
          <w:ilvl w:val="0"/>
          <w:numId w:val="9"/>
        </w:numPr>
        <w:jc w:val="both"/>
      </w:pPr>
      <w:r>
        <w:t>Soit sa compétence territoriale</w:t>
      </w:r>
    </w:p>
    <w:p w14:paraId="65AA45F8" w14:textId="77777777" w:rsidR="00A20780" w:rsidRDefault="00A20780" w:rsidP="00A20780"/>
    <w:p w14:paraId="504B1ADA" w14:textId="2561498A" w:rsidR="00A20780" w:rsidRDefault="00A20780" w:rsidP="00A20780">
      <w:pPr>
        <w:pStyle w:val="Paragraphedeliste"/>
        <w:numPr>
          <w:ilvl w:val="0"/>
          <w:numId w:val="20"/>
        </w:numPr>
      </w:pPr>
      <w:r w:rsidRPr="00A20780">
        <w:rPr>
          <w:b/>
          <w:u w:val="single"/>
        </w:rPr>
        <w:t>Incompétence et défaut de pouvoir</w:t>
      </w:r>
    </w:p>
    <w:p w14:paraId="6C51FC47" w14:textId="77777777" w:rsidR="00A20780" w:rsidRDefault="00A20780" w:rsidP="00A20780"/>
    <w:p w14:paraId="20481CE4" w14:textId="77777777" w:rsidR="00A20780" w:rsidRDefault="00A20780" w:rsidP="00A20780">
      <w:r>
        <w:t xml:space="preserve">L’incompétence ne doit pas être confondue avec le défaut de pouvoir du Juge. </w:t>
      </w:r>
    </w:p>
    <w:p w14:paraId="09891C4A" w14:textId="77777777" w:rsidR="00A20780" w:rsidRDefault="00A20780" w:rsidP="00A20780"/>
    <w:p w14:paraId="6C0F04F8" w14:textId="77777777" w:rsidR="00A20780" w:rsidRDefault="00A20780" w:rsidP="00A20780">
      <w:pPr>
        <w:pStyle w:val="Paragraphedeliste"/>
        <w:numPr>
          <w:ilvl w:val="0"/>
          <w:numId w:val="9"/>
        </w:numPr>
        <w:jc w:val="both"/>
      </w:pPr>
      <w:r>
        <w:t>Une juridiction peut avoir été valablement saisie par une partie, sans pour autant être investie du pouvoir de trancher le litige.</w:t>
      </w:r>
    </w:p>
    <w:p w14:paraId="173E7FE1" w14:textId="77777777" w:rsidR="00A20780" w:rsidRDefault="00A20780" w:rsidP="00A20780">
      <w:pPr>
        <w:pStyle w:val="Paragraphedeliste"/>
        <w:numPr>
          <w:ilvl w:val="1"/>
          <w:numId w:val="9"/>
        </w:numPr>
        <w:jc w:val="both"/>
      </w:pPr>
      <w:r>
        <w:t>Tel sera le cas du Juge des référés qui, nonobstant les règles qui régissent sa compétence matérielle et territoriale, ne dispose pas du pouvoir de statuer au principal</w:t>
      </w:r>
    </w:p>
    <w:p w14:paraId="53BC8FDD" w14:textId="77777777" w:rsidR="00A20780" w:rsidRDefault="00A20780" w:rsidP="00A20780">
      <w:pPr>
        <w:pStyle w:val="Paragraphedeliste"/>
        <w:numPr>
          <w:ilvl w:val="1"/>
          <w:numId w:val="9"/>
        </w:numPr>
        <w:jc w:val="both"/>
      </w:pPr>
      <w:r>
        <w:t>Tel sera encore le cas du Juge-commissaire dont le pouvoir est limité à la vérification des créances, de sorte qu’il lui est interdit de statuer sur leur validité</w:t>
      </w:r>
    </w:p>
    <w:p w14:paraId="03E7E2D0" w14:textId="77777777" w:rsidR="00A20780" w:rsidRDefault="00A20780" w:rsidP="00A20780"/>
    <w:p w14:paraId="71F4EAA6" w14:textId="77777777" w:rsidR="00A20780" w:rsidRDefault="00A20780" w:rsidP="00A20780">
      <w:pPr>
        <w:pStyle w:val="Paragraphedeliste"/>
        <w:numPr>
          <w:ilvl w:val="0"/>
          <w:numId w:val="9"/>
        </w:numPr>
        <w:jc w:val="both"/>
      </w:pPr>
      <w:r>
        <w:t>Une Juridiction peut, à l’inverse, être pleinement investie du pouvoir de trancher une question qui lui est soumise, sans pour autant être matériellement ou territorialement compétente pour statuer.</w:t>
      </w:r>
    </w:p>
    <w:p w14:paraId="5BDADF22" w14:textId="77777777" w:rsidR="00A20780" w:rsidRDefault="00A20780" w:rsidP="00A20780">
      <w:pPr>
        <w:pStyle w:val="Paragraphedeliste"/>
        <w:numPr>
          <w:ilvl w:val="1"/>
          <w:numId w:val="9"/>
        </w:numPr>
        <w:jc w:val="both"/>
      </w:pPr>
      <w:r>
        <w:t>Tel sera le cas du Tribunal de grande instance qui dispose du pouvoir de statuer au principal tout en étant incompétent pour se prononcer sur un litige de nature commerciale</w:t>
      </w:r>
    </w:p>
    <w:p w14:paraId="76AF0CDD" w14:textId="77777777" w:rsidR="00A20780" w:rsidRDefault="00A20780" w:rsidP="00A20780">
      <w:pPr>
        <w:pStyle w:val="Paragraphedeliste"/>
        <w:numPr>
          <w:ilvl w:val="1"/>
          <w:numId w:val="9"/>
        </w:numPr>
        <w:jc w:val="both"/>
      </w:pPr>
      <w:r>
        <w:t>Il en va de même pour le Tribunal de commerce de Paris qui dispose du pouvoir de statuer sur l’ouverture d’une procédure collective, mais qui n’est pas compétent pour se prononcer sur une procédure de redressement judiciaire ouverte à l’encontre d’un débiteur dont le siège social est situé à Marseille</w:t>
      </w:r>
    </w:p>
    <w:p w14:paraId="348D819B" w14:textId="77777777" w:rsidR="00A20780" w:rsidRDefault="00A20780" w:rsidP="00A20780"/>
    <w:p w14:paraId="33B1F2F2" w14:textId="77777777" w:rsidR="00A20780" w:rsidRDefault="00A20780" w:rsidP="00A20780">
      <w:r>
        <w:t>Tandis que l’incompétence relève de la catégorie des exceptions de procédure, et qui donc ne peut être soulevée qu’</w:t>
      </w:r>
      <w:r w:rsidRPr="00433116">
        <w:rPr>
          <w:i/>
        </w:rPr>
        <w:t>in limine litis</w:t>
      </w:r>
      <w:r>
        <w:t xml:space="preserve">, le défaut de pouvoir est constitutif d’une fin de non-recevoir et peut, dès lors, être soulevée en tout état de cause. </w:t>
      </w:r>
    </w:p>
    <w:p w14:paraId="4CC20D5F" w14:textId="77777777" w:rsidR="00A20780" w:rsidRDefault="00A20780" w:rsidP="00A20780"/>
    <w:p w14:paraId="4B87DF16" w14:textId="34BF464F" w:rsidR="00A20780" w:rsidRPr="006D0466" w:rsidRDefault="00A20780" w:rsidP="006D0466">
      <w:pPr>
        <w:pStyle w:val="Paragraphedeliste"/>
        <w:numPr>
          <w:ilvl w:val="0"/>
          <w:numId w:val="20"/>
        </w:numPr>
        <w:rPr>
          <w:b/>
          <w:u w:val="single"/>
        </w:rPr>
      </w:pPr>
      <w:r w:rsidRPr="006D0466">
        <w:rPr>
          <w:b/>
          <w:u w:val="single"/>
        </w:rPr>
        <w:t>Le déclinatoire d’incompétence</w:t>
      </w:r>
    </w:p>
    <w:p w14:paraId="36862636" w14:textId="77777777" w:rsidR="00A20780" w:rsidRPr="00DE2AD4" w:rsidRDefault="00A20780" w:rsidP="00A20780"/>
    <w:p w14:paraId="5374A994" w14:textId="77777777" w:rsidR="00A20780" w:rsidRDefault="00A20780" w:rsidP="00A20780">
      <w:pPr>
        <w:rPr>
          <w:rFonts w:eastAsia="Calibri"/>
          <w:lang w:eastAsia="ja-JP"/>
        </w:rPr>
      </w:pPr>
      <w:r w:rsidRPr="001B73BD">
        <w:rPr>
          <w:rFonts w:eastAsia="Calibri"/>
          <w:u w:val="single"/>
          <w:lang w:eastAsia="ja-JP"/>
        </w:rPr>
        <w:t>L’article 75</w:t>
      </w:r>
      <w:r>
        <w:rPr>
          <w:rFonts w:eastAsia="Calibri"/>
          <w:lang w:eastAsia="ja-JP"/>
        </w:rPr>
        <w:t xml:space="preserve"> du CPC dispose que s</w:t>
      </w:r>
      <w:r w:rsidRPr="001B73BD">
        <w:rPr>
          <w:rFonts w:eastAsia="Calibri"/>
          <w:lang w:eastAsia="ja-JP"/>
        </w:rPr>
        <w:t>'il est prétendu que la juridiction saisie en première instance</w:t>
      </w:r>
      <w:r>
        <w:rPr>
          <w:rFonts w:eastAsia="Calibri"/>
          <w:lang w:eastAsia="ja-JP"/>
        </w:rPr>
        <w:t xml:space="preserve"> </w:t>
      </w:r>
      <w:r w:rsidRPr="001B73BD">
        <w:rPr>
          <w:rFonts w:eastAsia="Calibri"/>
          <w:lang w:eastAsia="ja-JP"/>
        </w:rPr>
        <w:t>ou en appel est incompétente, la partie qui soulève cette exception doit, à peine</w:t>
      </w:r>
      <w:r>
        <w:rPr>
          <w:rFonts w:eastAsia="Calibri"/>
          <w:lang w:eastAsia="ja-JP"/>
        </w:rPr>
        <w:t xml:space="preserve"> </w:t>
      </w:r>
      <w:r w:rsidRPr="001B73BD">
        <w:rPr>
          <w:rFonts w:eastAsia="Calibri"/>
          <w:lang w:eastAsia="ja-JP"/>
        </w:rPr>
        <w:t>d'irrecevabilité</w:t>
      </w:r>
    </w:p>
    <w:p w14:paraId="3D9A62F0" w14:textId="77777777" w:rsidR="00A20780" w:rsidRDefault="00A20780" w:rsidP="00A20780">
      <w:pPr>
        <w:rPr>
          <w:rFonts w:eastAsia="Calibri"/>
          <w:lang w:eastAsia="ja-JP"/>
        </w:rPr>
      </w:pPr>
    </w:p>
    <w:p w14:paraId="66D278A9" w14:textId="77777777" w:rsidR="00A20780" w:rsidRDefault="00A20780" w:rsidP="00A20780">
      <w:pPr>
        <w:pStyle w:val="Paragraphedeliste"/>
        <w:numPr>
          <w:ilvl w:val="0"/>
          <w:numId w:val="9"/>
        </w:numPr>
        <w:jc w:val="both"/>
      </w:pPr>
      <w:r w:rsidRPr="001B73BD">
        <w:rPr>
          <w:b/>
          <w:i/>
        </w:rPr>
        <w:t>D’une part</w:t>
      </w:r>
      <w:r>
        <w:t xml:space="preserve">, </w:t>
      </w:r>
      <w:r w:rsidRPr="001B73BD">
        <w:t>la motiver</w:t>
      </w:r>
      <w:r>
        <w:t>, soit exposer les raisons en fait et en droit qui fonde l’incompétence excipée</w:t>
      </w:r>
    </w:p>
    <w:p w14:paraId="336BE5AE" w14:textId="77777777" w:rsidR="00A20780" w:rsidRDefault="00A20780" w:rsidP="00A20780"/>
    <w:p w14:paraId="4D570878" w14:textId="77777777" w:rsidR="00A20780" w:rsidRPr="001B73BD" w:rsidRDefault="00A20780" w:rsidP="00A20780">
      <w:pPr>
        <w:pStyle w:val="Paragraphedeliste"/>
        <w:numPr>
          <w:ilvl w:val="0"/>
          <w:numId w:val="9"/>
        </w:numPr>
        <w:jc w:val="both"/>
      </w:pPr>
      <w:r w:rsidRPr="001B73BD">
        <w:rPr>
          <w:b/>
          <w:i/>
        </w:rPr>
        <w:t>D’autre part</w:t>
      </w:r>
      <w:r>
        <w:t>, désigner la juridiction compétence, faute de quoi l’incompétence soulevée est irrecevable</w:t>
      </w:r>
    </w:p>
    <w:p w14:paraId="1EECCFA5" w14:textId="77777777" w:rsidR="00A20780" w:rsidRDefault="00A20780" w:rsidP="00A20780"/>
    <w:p w14:paraId="7DE69D91" w14:textId="7FE55FD1" w:rsidR="00A20780" w:rsidRPr="006D0466" w:rsidRDefault="00A20780" w:rsidP="006D0466">
      <w:pPr>
        <w:pStyle w:val="Paragraphedeliste"/>
        <w:numPr>
          <w:ilvl w:val="0"/>
          <w:numId w:val="20"/>
        </w:numPr>
        <w:rPr>
          <w:u w:val="single"/>
        </w:rPr>
      </w:pPr>
      <w:r w:rsidRPr="006D0466">
        <w:rPr>
          <w:b/>
          <w:u w:val="single"/>
        </w:rPr>
        <w:t>L’invocation de l’exception d’incompétence</w:t>
      </w:r>
    </w:p>
    <w:p w14:paraId="1337BF76" w14:textId="77777777" w:rsidR="00A20780" w:rsidRDefault="00A20780" w:rsidP="00A20780"/>
    <w:p w14:paraId="5CB8C80A" w14:textId="77777777" w:rsidR="00A20780" w:rsidRDefault="00A20780" w:rsidP="00A20780">
      <w:r>
        <w:t>Le Code de procédure civile distingue selon que l’incompétence de la juridiction est soulevée par une partie ou par le juge.</w:t>
      </w:r>
    </w:p>
    <w:p w14:paraId="37DF0DFC" w14:textId="77777777" w:rsidR="00A20780" w:rsidRDefault="00A20780" w:rsidP="00A20780"/>
    <w:p w14:paraId="03285B09" w14:textId="77777777" w:rsidR="00A20780" w:rsidRPr="00A35166" w:rsidRDefault="00A20780" w:rsidP="00A20780">
      <w:pPr>
        <w:rPr>
          <w:u w:val="single"/>
        </w:rPr>
      </w:pPr>
      <w:r>
        <w:sym w:font="Wingdings" w:char="F0E8"/>
      </w:r>
      <w:r w:rsidRPr="00A35166">
        <w:rPr>
          <w:b/>
          <w:u w:val="single"/>
        </w:rPr>
        <w:t>L’incompétence soulevée par les parties</w:t>
      </w:r>
    </w:p>
    <w:p w14:paraId="3E391D9E" w14:textId="77777777" w:rsidR="00A20780" w:rsidRDefault="00A20780" w:rsidP="00A20780"/>
    <w:p w14:paraId="30321CD4" w14:textId="77777777" w:rsidR="00A20780" w:rsidRDefault="00A20780" w:rsidP="00A20780">
      <w:r>
        <w:lastRenderedPageBreak/>
        <w:t xml:space="preserve">L’exception d’incompétence n’étant envisagée par le Code de procédure civile que comme un moyen de défense, le demandeur est irrecevable à contester la compétence de la juridiction qu’il a saisie (V. en ce sens </w:t>
      </w:r>
      <w:r w:rsidRPr="00A35166">
        <w:rPr>
          <w:i/>
          <w:u w:val="single"/>
        </w:rPr>
        <w:t>Cass. 3</w:t>
      </w:r>
      <w:r w:rsidRPr="00A35166">
        <w:rPr>
          <w:i/>
          <w:u w:val="single"/>
          <w:vertAlign w:val="superscript"/>
        </w:rPr>
        <w:t>e</w:t>
      </w:r>
      <w:r w:rsidRPr="00A35166">
        <w:rPr>
          <w:i/>
          <w:u w:val="single"/>
        </w:rPr>
        <w:t xml:space="preserve"> civ., 29 avr. 2002, n° 00-20973</w:t>
      </w:r>
      <w:r>
        <w:t>)</w:t>
      </w:r>
    </w:p>
    <w:p w14:paraId="0D88C71D" w14:textId="77777777" w:rsidR="00A20780" w:rsidRDefault="00A20780" w:rsidP="00A20780"/>
    <w:p w14:paraId="534B4BB2" w14:textId="77777777" w:rsidR="00A20780" w:rsidRPr="00CB379E" w:rsidRDefault="00A20780" w:rsidP="00A20780">
      <w:pPr>
        <w:rPr>
          <w:b/>
        </w:rPr>
      </w:pPr>
      <w:r>
        <w:sym w:font="Wingdings" w:char="F0E8"/>
      </w:r>
      <w:r w:rsidRPr="00A35166">
        <w:rPr>
          <w:b/>
          <w:u w:val="single"/>
        </w:rPr>
        <w:t xml:space="preserve">L’incompétence </w:t>
      </w:r>
      <w:r>
        <w:rPr>
          <w:b/>
          <w:u w:val="single"/>
        </w:rPr>
        <w:t>rele</w:t>
      </w:r>
      <w:r w:rsidRPr="00A35166">
        <w:rPr>
          <w:b/>
          <w:u w:val="single"/>
        </w:rPr>
        <w:t>vée par le Juge</w:t>
      </w:r>
    </w:p>
    <w:p w14:paraId="0AA3D34B" w14:textId="77777777" w:rsidR="00A20780" w:rsidRDefault="00A20780" w:rsidP="00A20780"/>
    <w:p w14:paraId="49ED9FBD" w14:textId="77777777" w:rsidR="00A20780" w:rsidRDefault="00A20780" w:rsidP="00A20780">
      <w:r>
        <w:t xml:space="preserve">Il ressort des </w:t>
      </w:r>
      <w:r w:rsidRPr="00A35166">
        <w:rPr>
          <w:u w:val="single"/>
        </w:rPr>
        <w:t>articles 76 et 77</w:t>
      </w:r>
      <w:r>
        <w:t xml:space="preserve"> du Code de procédure civile qu’il convient de distinguer selon que le juge soulève d’office son incompétence matérielle ou territoriale</w:t>
      </w:r>
    </w:p>
    <w:p w14:paraId="3C15F80B" w14:textId="77777777" w:rsidR="00A20780" w:rsidRDefault="00A20780" w:rsidP="00A20780"/>
    <w:p w14:paraId="31D9846E" w14:textId="77777777" w:rsidR="00A20780" w:rsidRPr="001B73BD" w:rsidRDefault="00A20780" w:rsidP="00A20780">
      <w:pPr>
        <w:pStyle w:val="Paragraphedeliste"/>
        <w:numPr>
          <w:ilvl w:val="0"/>
          <w:numId w:val="9"/>
        </w:numPr>
        <w:jc w:val="both"/>
        <w:rPr>
          <w:b/>
          <w:u w:val="single"/>
        </w:rPr>
      </w:pPr>
      <w:r w:rsidRPr="001B73BD">
        <w:rPr>
          <w:b/>
          <w:u w:val="single"/>
        </w:rPr>
        <w:t>L’incompétence matérielle</w:t>
      </w:r>
    </w:p>
    <w:p w14:paraId="00BA3FEA" w14:textId="77777777" w:rsidR="00A20780" w:rsidRPr="00DE2AD4" w:rsidRDefault="00A20780" w:rsidP="00A20780">
      <w:pPr>
        <w:pStyle w:val="Paragraphedeliste"/>
        <w:numPr>
          <w:ilvl w:val="1"/>
          <w:numId w:val="9"/>
        </w:numPr>
        <w:jc w:val="both"/>
        <w:rPr>
          <w:b/>
          <w:i/>
        </w:rPr>
      </w:pPr>
      <w:r w:rsidRPr="00DE2AD4">
        <w:rPr>
          <w:b/>
          <w:i/>
        </w:rPr>
        <w:t>Principe</w:t>
      </w:r>
    </w:p>
    <w:p w14:paraId="0432A038" w14:textId="77777777" w:rsidR="00A20780" w:rsidRDefault="00A20780" w:rsidP="00A20780">
      <w:pPr>
        <w:pStyle w:val="Paragraphedeliste"/>
        <w:numPr>
          <w:ilvl w:val="2"/>
          <w:numId w:val="9"/>
        </w:numPr>
        <w:jc w:val="both"/>
      </w:pPr>
      <w:r w:rsidRPr="00DE2AD4">
        <w:rPr>
          <w:u w:val="single"/>
        </w:rPr>
        <w:t>L’article 76</w:t>
      </w:r>
      <w:r>
        <w:t xml:space="preserve"> du CPC prévoit que l'incompétence peut être prononcée d'office en cas de violation d'une règle de compétence d'attribution lorsque cette règle est d'ordre public ou lorsque le défendeur ne comparaît pas. </w:t>
      </w:r>
    </w:p>
    <w:p w14:paraId="25393E44" w14:textId="77777777" w:rsidR="00A20780" w:rsidRDefault="00A20780" w:rsidP="00A20780">
      <w:pPr>
        <w:pStyle w:val="Paragraphedeliste"/>
        <w:numPr>
          <w:ilvl w:val="2"/>
          <w:numId w:val="9"/>
        </w:numPr>
        <w:jc w:val="both"/>
      </w:pPr>
      <w:r w:rsidRPr="00DE2AD4">
        <w:t>Cette disposition précise que l’incompétence matérielle</w:t>
      </w:r>
      <w:r>
        <w:t xml:space="preserve"> ne peut l'être qu'en ces cas.</w:t>
      </w:r>
    </w:p>
    <w:p w14:paraId="20168557" w14:textId="77777777" w:rsidR="00A20780" w:rsidRDefault="00A20780" w:rsidP="00A20780">
      <w:pPr>
        <w:pStyle w:val="Paragraphedeliste"/>
        <w:numPr>
          <w:ilvl w:val="2"/>
          <w:numId w:val="9"/>
        </w:numPr>
        <w:jc w:val="both"/>
      </w:pPr>
      <w:r>
        <w:t>Le pouvoir du juge de soulever d’office son incompétence matérielle reste une faculté, de sorte qu’il ne le fera que si les intérêts de l’une des parties sont menacés.</w:t>
      </w:r>
    </w:p>
    <w:p w14:paraId="1B060B80" w14:textId="77777777" w:rsidR="00A20780" w:rsidRDefault="00A20780" w:rsidP="00A20780">
      <w:pPr>
        <w:pStyle w:val="Paragraphedeliste"/>
        <w:numPr>
          <w:ilvl w:val="2"/>
          <w:numId w:val="9"/>
        </w:numPr>
        <w:jc w:val="both"/>
      </w:pPr>
      <w:r>
        <w:t>En cas d’inaction du juge ou des parties, la compétence de la juridiction saisie pourra donc être prorogée</w:t>
      </w:r>
    </w:p>
    <w:p w14:paraId="51F3E1C3" w14:textId="77777777" w:rsidR="00A20780" w:rsidRPr="00DE2AD4" w:rsidRDefault="00A20780" w:rsidP="00A20780">
      <w:pPr>
        <w:pStyle w:val="Paragraphedeliste"/>
        <w:numPr>
          <w:ilvl w:val="1"/>
          <w:numId w:val="9"/>
        </w:numPr>
        <w:jc w:val="both"/>
        <w:rPr>
          <w:b/>
          <w:i/>
        </w:rPr>
      </w:pPr>
      <w:r w:rsidRPr="00DE2AD4">
        <w:rPr>
          <w:b/>
          <w:i/>
        </w:rPr>
        <w:t>Tempérament</w:t>
      </w:r>
    </w:p>
    <w:p w14:paraId="1428D723" w14:textId="77777777" w:rsidR="00A20780" w:rsidRDefault="00A20780" w:rsidP="00A20780">
      <w:pPr>
        <w:pStyle w:val="Paragraphedeliste"/>
        <w:numPr>
          <w:ilvl w:val="2"/>
          <w:numId w:val="9"/>
        </w:numPr>
        <w:jc w:val="both"/>
      </w:pPr>
      <w:r w:rsidRPr="00DE2AD4">
        <w:rPr>
          <w:u w:val="single"/>
        </w:rPr>
        <w:t>L’alinéa 2</w:t>
      </w:r>
      <w:r>
        <w:t xml:space="preserve"> de l’article 76 du CPC ajoute que devant la cour d'appel et devant la Cour de cassation, cette incompétence ne peut être relevée d'office que si l'affaire relève de la compétence d'une juridiction répressive ou administrative ou échappe à la connaissance de la juridiction française.</w:t>
      </w:r>
    </w:p>
    <w:p w14:paraId="7DD21B0D" w14:textId="77777777" w:rsidR="00A20780" w:rsidRDefault="00A20780" w:rsidP="00A20780"/>
    <w:p w14:paraId="0064AA8D" w14:textId="77777777" w:rsidR="00A20780" w:rsidRPr="001B73BD" w:rsidRDefault="00A20780" w:rsidP="00A20780">
      <w:pPr>
        <w:pStyle w:val="Paragraphedeliste"/>
        <w:numPr>
          <w:ilvl w:val="0"/>
          <w:numId w:val="9"/>
        </w:numPr>
        <w:jc w:val="both"/>
        <w:rPr>
          <w:b/>
          <w:u w:val="single"/>
        </w:rPr>
      </w:pPr>
      <w:r w:rsidRPr="001B73BD">
        <w:rPr>
          <w:b/>
          <w:u w:val="single"/>
        </w:rPr>
        <w:t>L’incompétence territoriale</w:t>
      </w:r>
    </w:p>
    <w:p w14:paraId="30EF9B32" w14:textId="77777777" w:rsidR="00A20780" w:rsidRPr="00DE2AD4" w:rsidRDefault="00A20780" w:rsidP="00A20780">
      <w:pPr>
        <w:pStyle w:val="Paragraphedeliste"/>
        <w:numPr>
          <w:ilvl w:val="1"/>
          <w:numId w:val="9"/>
        </w:numPr>
        <w:jc w:val="both"/>
        <w:rPr>
          <w:b/>
          <w:i/>
        </w:rPr>
      </w:pPr>
      <w:r w:rsidRPr="00DE2AD4">
        <w:rPr>
          <w:b/>
          <w:i/>
        </w:rPr>
        <w:t>Principe</w:t>
      </w:r>
    </w:p>
    <w:p w14:paraId="73219AF0" w14:textId="77777777" w:rsidR="00A20780" w:rsidRDefault="00A20780" w:rsidP="00A20780">
      <w:pPr>
        <w:pStyle w:val="Paragraphedeliste"/>
        <w:numPr>
          <w:ilvl w:val="2"/>
          <w:numId w:val="9"/>
        </w:numPr>
        <w:jc w:val="both"/>
      </w:pPr>
      <w:r>
        <w:t xml:space="preserve">Il ressort de </w:t>
      </w:r>
      <w:r w:rsidRPr="00DE2AD4">
        <w:rPr>
          <w:u w:val="single"/>
        </w:rPr>
        <w:t>l’article 76</w:t>
      </w:r>
      <w:r>
        <w:t xml:space="preserve"> du CPC que l’incompétence territoriale ne peut jamais être soulevée en matière contentieuse.</w:t>
      </w:r>
    </w:p>
    <w:p w14:paraId="6B41E63E" w14:textId="77777777" w:rsidR="00A20780" w:rsidRDefault="00A20780" w:rsidP="00A20780">
      <w:pPr>
        <w:pStyle w:val="Paragraphedeliste"/>
        <w:numPr>
          <w:ilvl w:val="2"/>
          <w:numId w:val="9"/>
        </w:numPr>
        <w:jc w:val="both"/>
      </w:pPr>
      <w:r>
        <w:t xml:space="preserve">En matière gracieuse, en revanche, </w:t>
      </w:r>
      <w:r w:rsidRPr="00DE2AD4">
        <w:rPr>
          <w:u w:val="single"/>
        </w:rPr>
        <w:t>l’article 77</w:t>
      </w:r>
      <w:r>
        <w:t xml:space="preserve"> prévoit que </w:t>
      </w:r>
      <w:r w:rsidRPr="00DE2AD4">
        <w:t>le juge peut relever d'office son incompétence territoriale</w:t>
      </w:r>
    </w:p>
    <w:p w14:paraId="5A2AB881" w14:textId="77777777" w:rsidR="00A20780" w:rsidRDefault="00A20780" w:rsidP="00A20780">
      <w:pPr>
        <w:pStyle w:val="Paragraphedeliste"/>
        <w:numPr>
          <w:ilvl w:val="2"/>
          <w:numId w:val="9"/>
        </w:numPr>
        <w:jc w:val="both"/>
      </w:pPr>
      <w:r>
        <w:t>Là encore, il ne s’agit que d’une simple faculté, de sorte que la compétence territoriale de la juridiction saisie peut être prorogée en cas d’inaction du juge ou des parties.</w:t>
      </w:r>
    </w:p>
    <w:p w14:paraId="33F520EE" w14:textId="77777777" w:rsidR="00A20780" w:rsidRPr="00DE2AD4" w:rsidRDefault="00A20780" w:rsidP="00A20780">
      <w:pPr>
        <w:pStyle w:val="Paragraphedeliste"/>
        <w:numPr>
          <w:ilvl w:val="1"/>
          <w:numId w:val="9"/>
        </w:numPr>
        <w:jc w:val="both"/>
        <w:rPr>
          <w:b/>
          <w:i/>
        </w:rPr>
      </w:pPr>
      <w:r w:rsidRPr="00DE2AD4">
        <w:rPr>
          <w:b/>
          <w:i/>
        </w:rPr>
        <w:t>Exception</w:t>
      </w:r>
    </w:p>
    <w:p w14:paraId="5DFD0BCC" w14:textId="77777777" w:rsidR="00A20780" w:rsidRDefault="00A20780" w:rsidP="00A20780">
      <w:pPr>
        <w:pStyle w:val="Paragraphedeliste"/>
        <w:numPr>
          <w:ilvl w:val="2"/>
          <w:numId w:val="9"/>
        </w:numPr>
        <w:jc w:val="both"/>
      </w:pPr>
      <w:r>
        <w:t xml:space="preserve">Le juge ne peut relever d’office son incompétence territoriale en matière contentieuse </w:t>
      </w:r>
      <w:r w:rsidRPr="00DE2AD4">
        <w:t>que dans les litiges relatifs à l'état des personnes, dans les cas où la loi attribue compétence exclusive à une autre juridiction ou si le défendeur ne comparaît pas.</w:t>
      </w:r>
    </w:p>
    <w:p w14:paraId="0ABC82D3" w14:textId="38AA710C" w:rsidR="003A0730" w:rsidRDefault="003A0730" w:rsidP="00AD5096"/>
    <w:p w14:paraId="7DBF9B98" w14:textId="77777777" w:rsidR="00A20780" w:rsidRDefault="00A20780" w:rsidP="00AD5096"/>
    <w:p w14:paraId="7A9AF763" w14:textId="09EFADDB" w:rsidR="00472132" w:rsidRDefault="00472132" w:rsidP="006D0466">
      <w:pPr>
        <w:pStyle w:val="Paragraphedeliste"/>
        <w:numPr>
          <w:ilvl w:val="0"/>
          <w:numId w:val="19"/>
        </w:numPr>
      </w:pPr>
      <w:r w:rsidRPr="006D0466">
        <w:rPr>
          <w:b/>
          <w:u w:val="single"/>
        </w:rPr>
        <w:t>En l’espèce</w:t>
      </w:r>
    </w:p>
    <w:p w14:paraId="2611804F" w14:textId="77777777" w:rsidR="00472132" w:rsidRDefault="00472132" w:rsidP="00AD5096"/>
    <w:p w14:paraId="70DE0407" w14:textId="77777777" w:rsidR="00472132" w:rsidRDefault="00472132" w:rsidP="00AD5096"/>
    <w:p w14:paraId="51791A97" w14:textId="1982CA92" w:rsidR="003B06BA" w:rsidRPr="006F000D" w:rsidRDefault="003B06BA" w:rsidP="003B06BA">
      <w:pPr>
        <w:jc w:val="center"/>
        <w:rPr>
          <w:b/>
          <w:i/>
        </w:rPr>
      </w:pPr>
      <w:r w:rsidRPr="006F000D">
        <w:rPr>
          <w:b/>
          <w:i/>
        </w:rPr>
        <w:t>[…]</w:t>
      </w:r>
    </w:p>
    <w:p w14:paraId="6370D4A7" w14:textId="77777777" w:rsidR="00472132" w:rsidRDefault="00472132" w:rsidP="00AD5096"/>
    <w:p w14:paraId="12E4DC24" w14:textId="77777777" w:rsidR="00472132" w:rsidRDefault="00472132" w:rsidP="00AD5096"/>
    <w:p w14:paraId="49D2DCFD" w14:textId="0E8749AB" w:rsidR="006C05C8" w:rsidRDefault="00472132" w:rsidP="00A37315">
      <w:r w:rsidRPr="006C3EA4">
        <w:rPr>
          <w:b/>
        </w:rPr>
        <w:sym w:font="Wingdings" w:char="F0E8"/>
      </w:r>
      <w:r w:rsidR="00082459" w:rsidRPr="006C3EA4">
        <w:rPr>
          <w:b/>
          <w:u w:val="single"/>
        </w:rPr>
        <w:t>En conséquence</w:t>
      </w:r>
      <w:r w:rsidR="00082459" w:rsidRPr="006C3EA4">
        <w:t xml:space="preserve">, il est donc demandé au </w:t>
      </w:r>
      <w:r w:rsidR="006C3EA4" w:rsidRPr="006C3EA4">
        <w:t>Juge de la mise en état</w:t>
      </w:r>
      <w:r w:rsidR="006C3EA4">
        <w:t xml:space="preserve">, en application de </w:t>
      </w:r>
      <w:r w:rsidR="006C3EA4" w:rsidRPr="006C3EA4">
        <w:rPr>
          <w:i/>
        </w:rPr>
        <w:t xml:space="preserve">[fondement </w:t>
      </w:r>
      <w:r w:rsidR="006C3EA4">
        <w:rPr>
          <w:i/>
        </w:rPr>
        <w:t xml:space="preserve">légale ou contractuel </w:t>
      </w:r>
      <w:r w:rsidR="006C3EA4" w:rsidRPr="006C3EA4">
        <w:rPr>
          <w:i/>
        </w:rPr>
        <w:t>de l’incompétence]</w:t>
      </w:r>
      <w:r w:rsidR="006C3EA4">
        <w:t>,</w:t>
      </w:r>
      <w:r w:rsidR="006C3EA4" w:rsidRPr="006C3EA4">
        <w:t xml:space="preserve"> de déclarer </w:t>
      </w:r>
      <w:r w:rsidR="008D5947" w:rsidRPr="00230FCF">
        <w:rPr>
          <w:i/>
        </w:rPr>
        <w:t>in limine litis</w:t>
      </w:r>
      <w:r w:rsidR="008D5947">
        <w:t xml:space="preserve"> </w:t>
      </w:r>
      <w:r w:rsidR="006C3EA4" w:rsidRPr="006C3EA4">
        <w:t xml:space="preserve">le Tribunal de grande instance de </w:t>
      </w:r>
      <w:r w:rsidR="006C3EA4" w:rsidRPr="006C3EA4">
        <w:rPr>
          <w:i/>
        </w:rPr>
        <w:t>[ville]</w:t>
      </w:r>
      <w:r w:rsidR="006C3EA4" w:rsidRPr="006C3EA4">
        <w:t xml:space="preserve"> incompétent au profit de </w:t>
      </w:r>
      <w:r w:rsidR="006C3EA4" w:rsidRPr="006C3EA4">
        <w:rPr>
          <w:i/>
        </w:rPr>
        <w:t>[juridiction compétente]</w:t>
      </w:r>
      <w:r w:rsidR="006C3EA4">
        <w:t>.</w:t>
      </w:r>
    </w:p>
    <w:p w14:paraId="11EA166B" w14:textId="77777777" w:rsidR="003D3252" w:rsidRDefault="003D3252" w:rsidP="00AD5096"/>
    <w:p w14:paraId="7092967D" w14:textId="4A5D6D9F" w:rsidR="00F91426" w:rsidRPr="00F91426" w:rsidRDefault="002A62C0" w:rsidP="00F91426">
      <w:pPr>
        <w:pStyle w:val="Paragraphedeliste"/>
        <w:numPr>
          <w:ilvl w:val="0"/>
          <w:numId w:val="14"/>
        </w:numPr>
        <w:rPr>
          <w:b/>
          <w:u w:val="single"/>
        </w:rPr>
      </w:pPr>
      <w:r>
        <w:rPr>
          <w:b/>
          <w:u w:val="single"/>
        </w:rPr>
        <w:t>Sur les f</w:t>
      </w:r>
      <w:r w:rsidR="00F91426" w:rsidRPr="00F91426">
        <w:rPr>
          <w:b/>
          <w:u w:val="single"/>
        </w:rPr>
        <w:t>rais irrépétibles et les dépens</w:t>
      </w:r>
    </w:p>
    <w:p w14:paraId="7C7A4DB4" w14:textId="77777777" w:rsidR="006F6ED4" w:rsidRDefault="006F6ED4" w:rsidP="006F6ED4"/>
    <w:p w14:paraId="7878DAF4" w14:textId="77777777" w:rsidR="006F6ED4" w:rsidRDefault="006F6ED4" w:rsidP="006F6ED4">
      <w:r>
        <w:t>Compte tenu de ce qu’il serait inéquitable de laisser à la charge de [</w:t>
      </w:r>
      <w:r w:rsidRPr="00D571E4">
        <w:rPr>
          <w:b/>
          <w:i/>
        </w:rPr>
        <w:t>nom du demandeur</w:t>
      </w:r>
      <w:r>
        <w:t>] les frais irrépétibles qu’il a été contraint d’exposer en justice aux fins de défendre ses intérêts, il est parfaitement fondé à solliciter la condamnation de [</w:t>
      </w:r>
      <w:r w:rsidRPr="00D571E4">
        <w:rPr>
          <w:b/>
          <w:i/>
        </w:rPr>
        <w:t>nom du défendeur</w:t>
      </w:r>
      <w:r>
        <w:t>] le paiement de la somme de [</w:t>
      </w:r>
      <w:r w:rsidRPr="00D571E4">
        <w:rPr>
          <w:b/>
          <w:i/>
        </w:rPr>
        <w:t>montant</w:t>
      </w:r>
      <w:r>
        <w:t xml:space="preserve">] au titre de l’article 700 du Code de procédure civile, outre les entiers dépens. </w:t>
      </w:r>
    </w:p>
    <w:p w14:paraId="288BEB82" w14:textId="77777777" w:rsidR="0058710F" w:rsidRDefault="0058710F" w:rsidP="00290A87"/>
    <w:p w14:paraId="093DEE3D" w14:textId="737AED4C" w:rsidR="00534179" w:rsidRDefault="00534179" w:rsidP="00534179">
      <w:r>
        <w:t>Les pièces justificatives visées par le requérant sont énumérées dans le bordereau annexé aux présentes écritures.</w:t>
      </w:r>
    </w:p>
    <w:p w14:paraId="6CE78749" w14:textId="77777777" w:rsidR="00534179" w:rsidRDefault="00534179" w:rsidP="00290A87"/>
    <w:p w14:paraId="1AD6919A" w14:textId="77777777" w:rsidR="004731E2" w:rsidRDefault="00823261" w:rsidP="007B458A">
      <w:r>
        <w:br w:type="page"/>
      </w:r>
    </w:p>
    <w:p w14:paraId="349C7D57" w14:textId="77777777" w:rsidR="007B458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lastRenderedPageBreak/>
        <w:t>PAR CES MOTIFS</w:t>
      </w:r>
    </w:p>
    <w:p w14:paraId="5ED53724" w14:textId="77777777" w:rsidR="00653B7B" w:rsidRDefault="00653B7B" w:rsidP="007B458A"/>
    <w:p w14:paraId="61EEEAA8" w14:textId="548A354B" w:rsidR="00D13484" w:rsidRDefault="00D13484" w:rsidP="0098681A">
      <w:pPr>
        <w:rPr>
          <w:i/>
        </w:rPr>
      </w:pPr>
      <w:r w:rsidRPr="00780FAB">
        <w:rPr>
          <w:i/>
        </w:rPr>
        <w:t>Vu l</w:t>
      </w:r>
      <w:r w:rsidR="00BC7491">
        <w:rPr>
          <w:i/>
        </w:rPr>
        <w:t xml:space="preserve">es </w:t>
      </w:r>
      <w:r w:rsidR="00337AB2">
        <w:rPr>
          <w:i/>
        </w:rPr>
        <w:t>article</w:t>
      </w:r>
      <w:r w:rsidR="00BC7491">
        <w:rPr>
          <w:i/>
        </w:rPr>
        <w:t xml:space="preserve">s </w:t>
      </w:r>
      <w:r w:rsidR="00E73A23">
        <w:rPr>
          <w:i/>
        </w:rPr>
        <w:t>73 et</w:t>
      </w:r>
      <w:r w:rsidR="00392D14">
        <w:rPr>
          <w:i/>
        </w:rPr>
        <w:t xml:space="preserve"> </w:t>
      </w:r>
      <w:r w:rsidR="00BC7491">
        <w:rPr>
          <w:i/>
        </w:rPr>
        <w:t>7</w:t>
      </w:r>
      <w:r w:rsidR="00392D14">
        <w:rPr>
          <w:i/>
        </w:rPr>
        <w:t>71</w:t>
      </w:r>
      <w:r w:rsidR="00E73A23">
        <w:rPr>
          <w:i/>
        </w:rPr>
        <w:t xml:space="preserve"> </w:t>
      </w:r>
      <w:r w:rsidR="00337AB2">
        <w:rPr>
          <w:i/>
        </w:rPr>
        <w:t>du Code de procédure civile</w:t>
      </w:r>
    </w:p>
    <w:p w14:paraId="552B5084" w14:textId="6FC843D2" w:rsidR="00E73A23" w:rsidRPr="00780FAB" w:rsidRDefault="00E73A23" w:rsidP="0098681A">
      <w:pPr>
        <w:rPr>
          <w:i/>
        </w:rPr>
      </w:pPr>
      <w:r>
        <w:rPr>
          <w:i/>
        </w:rPr>
        <w:t>Vu [fondement légale ou contractuel de l’incompétence]</w:t>
      </w:r>
    </w:p>
    <w:p w14:paraId="25AD29D7" w14:textId="77777777" w:rsidR="00C35FDB" w:rsidRPr="00C35FDB" w:rsidRDefault="00C35FDB" w:rsidP="0098681A">
      <w:pPr>
        <w:rPr>
          <w:i/>
        </w:rPr>
      </w:pPr>
      <w:r w:rsidRPr="00C35FDB">
        <w:rPr>
          <w:i/>
        </w:rPr>
        <w:t>Vu la jurisprudence</w:t>
      </w:r>
    </w:p>
    <w:p w14:paraId="7F2AEBC7" w14:textId="77777777" w:rsidR="00C35FDB" w:rsidRPr="00C35FDB" w:rsidRDefault="00C35FDB" w:rsidP="0098681A">
      <w:pPr>
        <w:rPr>
          <w:i/>
        </w:rPr>
      </w:pPr>
      <w:r w:rsidRPr="00C35FDB">
        <w:rPr>
          <w:i/>
        </w:rPr>
        <w:t>Vu les pièces versées au débat</w:t>
      </w:r>
    </w:p>
    <w:p w14:paraId="2CA426DB" w14:textId="77777777" w:rsidR="00C35FDB" w:rsidRDefault="00C35FDB" w:rsidP="0098681A"/>
    <w:p w14:paraId="30737940" w14:textId="1234C33A" w:rsidR="00C35FDB" w:rsidRDefault="00C35FDB" w:rsidP="0098681A">
      <w:r>
        <w:t xml:space="preserve">Il est demandé au </w:t>
      </w:r>
      <w:r w:rsidR="00337AB2">
        <w:t xml:space="preserve">Juge de la mise en état près le </w:t>
      </w:r>
      <w:r>
        <w:t xml:space="preserve">Tribunal </w:t>
      </w:r>
      <w:r w:rsidR="00EF75F5">
        <w:t xml:space="preserve">de Grande Instance </w:t>
      </w:r>
      <w:r w:rsidR="00210AB0" w:rsidRPr="0076600B">
        <w:rPr>
          <w:i/>
        </w:rPr>
        <w:t>[ville]</w:t>
      </w:r>
      <w:r w:rsidR="00EF75F5">
        <w:t xml:space="preserve"> de</w:t>
      </w:r>
      <w:r w:rsidR="00210AB0">
        <w:t> :</w:t>
      </w:r>
    </w:p>
    <w:p w14:paraId="18BF9288" w14:textId="77777777" w:rsidR="00BE7B86" w:rsidRDefault="00BE7B86" w:rsidP="0098681A"/>
    <w:p w14:paraId="0180B59A" w14:textId="77777777" w:rsidR="00BB175F" w:rsidRDefault="00BB175F" w:rsidP="0098681A">
      <w:r>
        <w:t xml:space="preserve">Rejetant toutes fins, moyens et conclusions contraires, </w:t>
      </w:r>
    </w:p>
    <w:p w14:paraId="76C31F63" w14:textId="77777777" w:rsidR="00BB175F" w:rsidRDefault="00BB175F" w:rsidP="0098681A"/>
    <w:p w14:paraId="450A361C" w14:textId="6BE65FAE" w:rsidR="006C3EA4" w:rsidRPr="00357D03" w:rsidRDefault="00357D03" w:rsidP="0098681A">
      <w:pPr>
        <w:pStyle w:val="Paragraphedeliste"/>
        <w:numPr>
          <w:ilvl w:val="0"/>
          <w:numId w:val="21"/>
        </w:numPr>
        <w:jc w:val="both"/>
        <w:rPr>
          <w:b/>
          <w:i/>
          <w:u w:val="single"/>
        </w:rPr>
      </w:pPr>
      <w:r w:rsidRPr="00357D03">
        <w:rPr>
          <w:b/>
          <w:i/>
          <w:u w:val="single"/>
        </w:rPr>
        <w:t>In limine litis</w:t>
      </w:r>
    </w:p>
    <w:p w14:paraId="7254B3C8" w14:textId="77777777" w:rsidR="006C3EA4" w:rsidRDefault="006C3EA4" w:rsidP="0098681A"/>
    <w:p w14:paraId="67C8D94C" w14:textId="6C57F6F3" w:rsidR="006C3EA4" w:rsidRPr="006C3EA4" w:rsidRDefault="006C3EA4" w:rsidP="0098681A">
      <w:pPr>
        <w:pStyle w:val="Paragraphedeliste"/>
        <w:numPr>
          <w:ilvl w:val="0"/>
          <w:numId w:val="5"/>
        </w:numPr>
        <w:jc w:val="both"/>
        <w:rPr>
          <w:i/>
        </w:rPr>
      </w:pPr>
      <w:r w:rsidRPr="006C3EA4">
        <w:rPr>
          <w:b/>
        </w:rPr>
        <w:t>DÉCLARER</w:t>
      </w:r>
      <w:r>
        <w:t xml:space="preserve"> le Tribunal de grande instance de </w:t>
      </w:r>
      <w:r w:rsidRPr="006C3EA4">
        <w:rPr>
          <w:i/>
        </w:rPr>
        <w:t>[ville]</w:t>
      </w:r>
      <w:r>
        <w:t xml:space="preserve"> incompétent au profit de </w:t>
      </w:r>
      <w:r w:rsidRPr="006C3EA4">
        <w:rPr>
          <w:i/>
        </w:rPr>
        <w:t>[juridiction compétente]</w:t>
      </w:r>
    </w:p>
    <w:p w14:paraId="1F4529AE" w14:textId="77777777" w:rsidR="006C3EA4" w:rsidRDefault="006C3EA4" w:rsidP="0098681A"/>
    <w:p w14:paraId="1803CC07" w14:textId="50F999C4" w:rsidR="00357D03" w:rsidRDefault="00357D03" w:rsidP="0098681A">
      <w:r>
        <w:t>En conséquence :</w:t>
      </w:r>
    </w:p>
    <w:p w14:paraId="64B6D499" w14:textId="77777777" w:rsidR="00357D03" w:rsidRDefault="00357D03" w:rsidP="006C3EA4"/>
    <w:p w14:paraId="4493F1C0" w14:textId="39930B26" w:rsidR="00357D03" w:rsidRDefault="00357D03" w:rsidP="00357D03">
      <w:pPr>
        <w:jc w:val="center"/>
      </w:pPr>
      <w:r>
        <w:rPr>
          <w:i/>
        </w:rPr>
        <w:t>[</w:t>
      </w:r>
      <w:r w:rsidRPr="00357D03">
        <w:rPr>
          <w:i/>
        </w:rPr>
        <w:t>Si l’affaire relève de</w:t>
      </w:r>
      <w:r>
        <w:rPr>
          <w:i/>
        </w:rPr>
        <w:t xml:space="preserve"> la compétence de la compétence des juridictions civiles ou commerciales]</w:t>
      </w:r>
    </w:p>
    <w:p w14:paraId="7AAE1B0D" w14:textId="77777777" w:rsidR="00357D03" w:rsidRDefault="00357D03" w:rsidP="006C3EA4"/>
    <w:p w14:paraId="619888EC" w14:textId="77777777" w:rsidR="00357D03" w:rsidRDefault="00357D03" w:rsidP="006C3EA4"/>
    <w:p w14:paraId="42477CAA" w14:textId="35E810C0" w:rsidR="00357D03" w:rsidRDefault="00357D03" w:rsidP="0098681A">
      <w:pPr>
        <w:pStyle w:val="Paragraphedeliste"/>
        <w:numPr>
          <w:ilvl w:val="0"/>
          <w:numId w:val="5"/>
        </w:numPr>
        <w:jc w:val="both"/>
      </w:pPr>
      <w:r w:rsidRPr="00357D03">
        <w:rPr>
          <w:b/>
        </w:rPr>
        <w:t>RENVOYER</w:t>
      </w:r>
      <w:r>
        <w:t xml:space="preserve"> l’affaire devant le </w:t>
      </w:r>
      <w:r w:rsidRPr="00357D03">
        <w:rPr>
          <w:i/>
        </w:rPr>
        <w:t>[Juridiction compétente]</w:t>
      </w:r>
      <w:r>
        <w:rPr>
          <w:i/>
        </w:rPr>
        <w:t xml:space="preserve"> </w:t>
      </w:r>
      <w:r>
        <w:t>à qui il appartiendra de convoquer les parties ou fixer une date d’audience</w:t>
      </w:r>
    </w:p>
    <w:p w14:paraId="4B865CAD" w14:textId="77777777" w:rsidR="00357D03" w:rsidRDefault="00357D03" w:rsidP="006C3EA4"/>
    <w:p w14:paraId="205D6F0A" w14:textId="77777777" w:rsidR="00357D03" w:rsidRPr="00357D03" w:rsidRDefault="00357D03" w:rsidP="00357D03">
      <w:pPr>
        <w:jc w:val="center"/>
        <w:rPr>
          <w:i/>
        </w:rPr>
      </w:pPr>
      <w:r w:rsidRPr="00357D03">
        <w:rPr>
          <w:i/>
        </w:rPr>
        <w:t>[Si l’affaire relève de la compétence d’une juridiction répressive, administrative, arbitrale ou étrangère]</w:t>
      </w:r>
    </w:p>
    <w:p w14:paraId="7C9E274B" w14:textId="77777777" w:rsidR="00357D03" w:rsidRDefault="00357D03" w:rsidP="0098681A"/>
    <w:p w14:paraId="05570AA1" w14:textId="4B98DC47" w:rsidR="00357D03" w:rsidRDefault="00357D03" w:rsidP="0098681A">
      <w:pPr>
        <w:pStyle w:val="Paragraphedeliste"/>
        <w:numPr>
          <w:ilvl w:val="0"/>
          <w:numId w:val="5"/>
        </w:numPr>
        <w:jc w:val="both"/>
      </w:pPr>
      <w:r w:rsidRPr="00357D03">
        <w:rPr>
          <w:b/>
        </w:rPr>
        <w:t>RENVOYER</w:t>
      </w:r>
      <w:r>
        <w:t xml:space="preserve"> les parties à mieux se pourvoir</w:t>
      </w:r>
    </w:p>
    <w:p w14:paraId="33CAA49E" w14:textId="77777777" w:rsidR="006C3EA4" w:rsidRDefault="006C3EA4" w:rsidP="0098681A"/>
    <w:p w14:paraId="158F4EDD" w14:textId="141298AA" w:rsidR="006C3EA4" w:rsidRPr="006C3EA4" w:rsidRDefault="006C3EA4" w:rsidP="0098681A">
      <w:pPr>
        <w:pStyle w:val="Paragraphedeliste"/>
        <w:numPr>
          <w:ilvl w:val="0"/>
          <w:numId w:val="21"/>
        </w:numPr>
        <w:jc w:val="both"/>
        <w:rPr>
          <w:b/>
          <w:u w:val="single"/>
        </w:rPr>
      </w:pPr>
      <w:r w:rsidRPr="006C3EA4">
        <w:rPr>
          <w:b/>
          <w:u w:val="single"/>
        </w:rPr>
        <w:t>A titre subsidiaire</w:t>
      </w:r>
    </w:p>
    <w:p w14:paraId="35D13433" w14:textId="77777777" w:rsidR="006C3EA4" w:rsidRDefault="006C3EA4" w:rsidP="0098681A"/>
    <w:p w14:paraId="643E69D6" w14:textId="1BD517CD" w:rsidR="006C3EA4" w:rsidRDefault="00357D03" w:rsidP="0098681A">
      <w:pPr>
        <w:pStyle w:val="Paragraphedeliste"/>
        <w:numPr>
          <w:ilvl w:val="0"/>
          <w:numId w:val="5"/>
        </w:numPr>
        <w:jc w:val="both"/>
      </w:pPr>
      <w:r w:rsidRPr="00357D03">
        <w:rPr>
          <w:b/>
        </w:rPr>
        <w:t>ENJOINDRE</w:t>
      </w:r>
      <w:r>
        <w:t xml:space="preserve"> les parties de conclure au fond</w:t>
      </w:r>
    </w:p>
    <w:p w14:paraId="35CC600B" w14:textId="77777777" w:rsidR="006C3EA4" w:rsidRDefault="006C3EA4" w:rsidP="0098681A"/>
    <w:p w14:paraId="73C50996" w14:textId="79282E90" w:rsidR="00EF75F5" w:rsidRPr="006C3EA4" w:rsidRDefault="006C3EA4" w:rsidP="0098681A">
      <w:pPr>
        <w:pStyle w:val="Paragraphedeliste"/>
        <w:numPr>
          <w:ilvl w:val="0"/>
          <w:numId w:val="21"/>
        </w:numPr>
        <w:jc w:val="both"/>
        <w:rPr>
          <w:b/>
          <w:u w:val="single"/>
        </w:rPr>
      </w:pPr>
      <w:r w:rsidRPr="006C3EA4">
        <w:rPr>
          <w:b/>
          <w:u w:val="single"/>
        </w:rPr>
        <w:t>En tout état de cause</w:t>
      </w:r>
    </w:p>
    <w:p w14:paraId="5DDEA408" w14:textId="77777777" w:rsidR="006C3EA4" w:rsidRDefault="006C3EA4" w:rsidP="0098681A"/>
    <w:p w14:paraId="25C738C2" w14:textId="77777777" w:rsidR="00BE7B86" w:rsidRDefault="00BE7B86" w:rsidP="0098681A">
      <w:pPr>
        <w:numPr>
          <w:ilvl w:val="0"/>
          <w:numId w:val="5"/>
        </w:numPr>
      </w:pPr>
      <w:r>
        <w:rPr>
          <w:b/>
        </w:rPr>
        <w:t>CONDAMNER</w:t>
      </w:r>
      <w:r>
        <w:t xml:space="preserve"> </w:t>
      </w:r>
      <w:r w:rsidR="00210AB0" w:rsidRPr="00210AB0">
        <w:rPr>
          <w:i/>
        </w:rPr>
        <w:t>[nom de l’adversaire]</w:t>
      </w:r>
      <w:r w:rsidR="00210AB0">
        <w:t xml:space="preserve"> </w:t>
      </w:r>
      <w:r>
        <w:t xml:space="preserve">au paiement de la somme de </w:t>
      </w:r>
      <w:r w:rsidR="00210AB0" w:rsidRPr="00210AB0">
        <w:rPr>
          <w:i/>
        </w:rPr>
        <w:t>[montant]</w:t>
      </w:r>
      <w:r>
        <w:t xml:space="preserve"> au titre de l’article 700 du Code de procédure civile </w:t>
      </w:r>
    </w:p>
    <w:p w14:paraId="66D93B52" w14:textId="77777777" w:rsidR="00BE7B86" w:rsidRDefault="00BE7B86" w:rsidP="0098681A"/>
    <w:p w14:paraId="7BF83546" w14:textId="77777777" w:rsidR="001C4486" w:rsidRDefault="001C4486" w:rsidP="0098681A">
      <w:pPr>
        <w:numPr>
          <w:ilvl w:val="0"/>
          <w:numId w:val="5"/>
        </w:numPr>
      </w:pPr>
      <w:r>
        <w:rPr>
          <w:b/>
        </w:rPr>
        <w:t>CONDAMNER</w:t>
      </w:r>
      <w:r>
        <w:t xml:space="preserve"> </w:t>
      </w:r>
      <w:r w:rsidRPr="00210AB0">
        <w:rPr>
          <w:i/>
        </w:rPr>
        <w:t>[nom de l’adversaire]</w:t>
      </w:r>
      <w:r>
        <w:t xml:space="preserve"> aux entiers dépens, </w:t>
      </w:r>
      <w:r w:rsidRPr="007B26A2">
        <w:t xml:space="preserve">dont distraction au profit de Maître </w:t>
      </w:r>
      <w:r w:rsidRPr="007B26A2">
        <w:rPr>
          <w:i/>
        </w:rPr>
        <w:t>[identité</w:t>
      </w:r>
      <w:r>
        <w:rPr>
          <w:i/>
        </w:rPr>
        <w:t xml:space="preserve"> de l’avocat concerné</w:t>
      </w:r>
      <w:r w:rsidRPr="007B26A2">
        <w:rPr>
          <w:i/>
        </w:rPr>
        <w:t>]</w:t>
      </w:r>
      <w:r w:rsidRPr="007B26A2">
        <w:t xml:space="preserve">, avocat, en application de l'article </w:t>
      </w:r>
      <w:r>
        <w:t>699 du Code de procédure civile</w:t>
      </w:r>
    </w:p>
    <w:p w14:paraId="316CB78C" w14:textId="77777777" w:rsidR="00BE7B86" w:rsidRDefault="00BE7B86" w:rsidP="007B458A"/>
    <w:p w14:paraId="32CA5339" w14:textId="754A08BD" w:rsidR="00BE7B86" w:rsidRPr="00A60ABA" w:rsidRDefault="00A60ABA" w:rsidP="00A60ABA">
      <w:pPr>
        <w:jc w:val="center"/>
        <w:rPr>
          <w:b/>
          <w:i/>
        </w:rPr>
      </w:pPr>
      <w:r w:rsidRPr="00A60ABA">
        <w:rPr>
          <w:b/>
          <w:i/>
        </w:rPr>
        <w:t>[OU]</w:t>
      </w:r>
    </w:p>
    <w:p w14:paraId="260131CE" w14:textId="77777777" w:rsidR="00A60ABA" w:rsidRDefault="00A60ABA" w:rsidP="007B458A"/>
    <w:p w14:paraId="16E06FB9" w14:textId="51418764" w:rsidR="00A60ABA" w:rsidRDefault="00A60ABA" w:rsidP="00A60ABA">
      <w:pPr>
        <w:pStyle w:val="Paragraphedeliste"/>
        <w:numPr>
          <w:ilvl w:val="0"/>
          <w:numId w:val="5"/>
        </w:numPr>
      </w:pPr>
      <w:r w:rsidRPr="00A60ABA">
        <w:rPr>
          <w:b/>
        </w:rPr>
        <w:t>RÉSERVER</w:t>
      </w:r>
      <w:r>
        <w:t xml:space="preserve"> les dépens</w:t>
      </w:r>
    </w:p>
    <w:p w14:paraId="4CDD4B26" w14:textId="77777777" w:rsidR="00672011" w:rsidRDefault="00672011" w:rsidP="007B458A"/>
    <w:p w14:paraId="6098D31C" w14:textId="77777777" w:rsidR="00672011" w:rsidRDefault="00672011" w:rsidP="007B458A"/>
    <w:p w14:paraId="7F8A3854" w14:textId="06819596" w:rsidR="00A60ABA" w:rsidRDefault="00303CF0" w:rsidP="00303CF0">
      <w:pPr>
        <w:ind w:left="6372"/>
      </w:pPr>
      <w:r>
        <w:t xml:space="preserve">Le </w:t>
      </w:r>
      <w:r w:rsidRPr="00303CF0">
        <w:rPr>
          <w:i/>
        </w:rPr>
        <w:t>[Date]</w:t>
      </w:r>
    </w:p>
    <w:p w14:paraId="50E6C49C" w14:textId="77777777" w:rsidR="005C3314" w:rsidRDefault="005C3314" w:rsidP="007B458A"/>
    <w:p w14:paraId="02B9331B" w14:textId="0FE30068" w:rsidR="00672011" w:rsidRPr="00672011" w:rsidRDefault="00672011" w:rsidP="00672011">
      <w:pPr>
        <w:ind w:left="5664"/>
        <w:rPr>
          <w:b/>
        </w:rPr>
      </w:pPr>
      <w:r w:rsidRPr="00672011">
        <w:rPr>
          <w:b/>
        </w:rPr>
        <w:t>SIGNATURE DE L’AVOCAT</w:t>
      </w:r>
    </w:p>
    <w:p w14:paraId="15EA4430" w14:textId="77777777" w:rsidR="00672011" w:rsidRDefault="00672011" w:rsidP="007B458A"/>
    <w:p w14:paraId="5746B3D0" w14:textId="77777777" w:rsidR="00672011" w:rsidRDefault="00672011" w:rsidP="007B458A"/>
    <w:p w14:paraId="4E6D2341" w14:textId="77777777" w:rsidR="00672011" w:rsidRDefault="00672011" w:rsidP="007B458A"/>
    <w:p w14:paraId="783439C3" w14:textId="77777777" w:rsidR="00763EAB" w:rsidRDefault="00763EAB" w:rsidP="007B458A">
      <w:bookmarkStart w:id="0" w:name="_GoBack"/>
      <w:bookmarkEnd w:id="0"/>
    </w:p>
    <w:p w14:paraId="5E9F7A52" w14:textId="074B8627" w:rsidR="007B458A" w:rsidRDefault="007B458A" w:rsidP="00763EAB">
      <w:pPr>
        <w:jc w:val="center"/>
        <w:rPr>
          <w:b/>
        </w:rPr>
      </w:pPr>
      <w:r w:rsidRPr="00763EAB">
        <w:rPr>
          <w:b/>
        </w:rPr>
        <w:t xml:space="preserve">SOUS TOUTES RESERVES </w:t>
      </w:r>
      <w:r w:rsidR="00763EAB">
        <w:rPr>
          <w:b/>
        </w:rPr>
        <w:t>ET CE AFIN QU'ILS N’EN IGNORENT</w:t>
      </w:r>
    </w:p>
    <w:p w14:paraId="272487FD" w14:textId="77777777" w:rsidR="007B458A" w:rsidRDefault="001174B9" w:rsidP="007B458A">
      <w:r>
        <w:br w:type="page"/>
      </w:r>
    </w:p>
    <w:p w14:paraId="3CDE31AE" w14:textId="77777777" w:rsidR="00534179" w:rsidRDefault="00534179" w:rsidP="00534179">
      <w:r>
        <w:rPr>
          <w:b/>
          <w:u w:val="single"/>
        </w:rPr>
        <w:lastRenderedPageBreak/>
        <w:t>Bordereau récapitulatif des pièces visées au soutien des présentes conclusions :</w:t>
      </w:r>
    </w:p>
    <w:p w14:paraId="6DCF1C7E" w14:textId="77777777" w:rsidR="007B458A" w:rsidRPr="009E2475" w:rsidRDefault="007B458A" w:rsidP="007B458A"/>
    <w:p w14:paraId="3D85116C" w14:textId="77777777" w:rsidR="0069386E" w:rsidRPr="00976774" w:rsidRDefault="0069386E" w:rsidP="0069386E">
      <w:pPr>
        <w:numPr>
          <w:ilvl w:val="0"/>
          <w:numId w:val="6"/>
        </w:numPr>
        <w:tabs>
          <w:tab w:val="left" w:pos="567"/>
        </w:tabs>
      </w:pPr>
    </w:p>
    <w:p w14:paraId="34FA3B9E" w14:textId="77777777" w:rsidR="001174B9" w:rsidRPr="00976774" w:rsidRDefault="001174B9" w:rsidP="002A4480">
      <w:pPr>
        <w:numPr>
          <w:ilvl w:val="0"/>
          <w:numId w:val="6"/>
        </w:numPr>
        <w:tabs>
          <w:tab w:val="left" w:pos="567"/>
        </w:tabs>
      </w:pPr>
    </w:p>
    <w:p w14:paraId="7ECDFF00" w14:textId="77777777" w:rsidR="0069386E" w:rsidRPr="00976774" w:rsidRDefault="0069386E" w:rsidP="001174B9">
      <w:pPr>
        <w:numPr>
          <w:ilvl w:val="0"/>
          <w:numId w:val="6"/>
        </w:numPr>
        <w:tabs>
          <w:tab w:val="left" w:pos="567"/>
        </w:tabs>
      </w:pPr>
    </w:p>
    <w:sectPr w:rsidR="0069386E" w:rsidRPr="00976774" w:rsidSect="007B458A">
      <w:footerReference w:type="default" r:id="rId7"/>
      <w:headerReference w:type="first" r:id="rId8"/>
      <w:footerReference w:type="first" r:id="rId9"/>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6D95D" w14:textId="77777777" w:rsidR="00A27874" w:rsidRDefault="00A27874">
      <w:r>
        <w:separator/>
      </w:r>
    </w:p>
  </w:endnote>
  <w:endnote w:type="continuationSeparator" w:id="0">
    <w:p w14:paraId="2911E60C" w14:textId="77777777" w:rsidR="00A27874" w:rsidRDefault="00A2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52E6"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8D5947">
      <w:rPr>
        <w:rStyle w:val="Numrodepage"/>
        <w:noProof/>
        <w:sz w:val="20"/>
      </w:rPr>
      <w:t>8</w:t>
    </w:r>
    <w:r w:rsidRPr="00DF562E">
      <w:rPr>
        <w:rStyle w:val="Numrodepage"/>
        <w:sz w:val="20"/>
      </w:rPr>
      <w:fldChar w:fldCharType="end"/>
    </w:r>
  </w:p>
  <w:p w14:paraId="35321494"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C093" w14:textId="77777777" w:rsidR="008D0A52" w:rsidRDefault="008D0A52">
    <w:pPr>
      <w:pStyle w:val="Pieddepage"/>
      <w:jc w:val="center"/>
    </w:pPr>
    <w:r>
      <w:fldChar w:fldCharType="begin"/>
    </w:r>
    <w:r>
      <w:instrText>PAGE   \* MERGEFORMAT</w:instrText>
    </w:r>
    <w:r>
      <w:fldChar w:fldCharType="separate"/>
    </w:r>
    <w:r w:rsidR="008D5947">
      <w:rPr>
        <w:noProof/>
      </w:rPr>
      <w:t>1</w:t>
    </w:r>
    <w:r>
      <w:fldChar w:fldCharType="end"/>
    </w:r>
  </w:p>
  <w:p w14:paraId="7029B505"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65FE" w14:textId="77777777" w:rsidR="00A27874" w:rsidRDefault="00A27874">
      <w:r>
        <w:separator/>
      </w:r>
    </w:p>
  </w:footnote>
  <w:footnote w:type="continuationSeparator" w:id="0">
    <w:p w14:paraId="6AAFB027" w14:textId="77777777" w:rsidR="00A27874" w:rsidRDefault="00A2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FC20"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71FD3"/>
    <w:multiLevelType w:val="hybridMultilevel"/>
    <w:tmpl w:val="8856C220"/>
    <w:lvl w:ilvl="0" w:tplc="F88E23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252B4"/>
    <w:multiLevelType w:val="hybridMultilevel"/>
    <w:tmpl w:val="119A7FD4"/>
    <w:lvl w:ilvl="0" w:tplc="040C0011">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4E0F0E"/>
    <w:multiLevelType w:val="hybridMultilevel"/>
    <w:tmpl w:val="4DF05544"/>
    <w:lvl w:ilvl="0" w:tplc="227422A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DA6EF1"/>
    <w:multiLevelType w:val="hybridMultilevel"/>
    <w:tmpl w:val="3C9A2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20F030D"/>
    <w:multiLevelType w:val="hybridMultilevel"/>
    <w:tmpl w:val="28D4A98E"/>
    <w:lvl w:ilvl="0" w:tplc="5C7094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2349D3"/>
    <w:multiLevelType w:val="hybridMultilevel"/>
    <w:tmpl w:val="6CFECBE2"/>
    <w:lvl w:ilvl="0" w:tplc="89E6BD6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7A2C5D"/>
    <w:multiLevelType w:val="hybridMultilevel"/>
    <w:tmpl w:val="833E547E"/>
    <w:lvl w:ilvl="0" w:tplc="DB5CEA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093"/>
    <w:multiLevelType w:val="hybridMultilevel"/>
    <w:tmpl w:val="3EEC77BE"/>
    <w:lvl w:ilvl="0" w:tplc="330CCD4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7"/>
  </w:num>
  <w:num w:numId="3">
    <w:abstractNumId w:val="5"/>
  </w:num>
  <w:num w:numId="4">
    <w:abstractNumId w:val="11"/>
  </w:num>
  <w:num w:numId="5">
    <w:abstractNumId w:val="3"/>
  </w:num>
  <w:num w:numId="6">
    <w:abstractNumId w:val="9"/>
  </w:num>
  <w:num w:numId="7">
    <w:abstractNumId w:val="19"/>
  </w:num>
  <w:num w:numId="8">
    <w:abstractNumId w:val="7"/>
  </w:num>
  <w:num w:numId="9">
    <w:abstractNumId w:val="15"/>
  </w:num>
  <w:num w:numId="10">
    <w:abstractNumId w:val="16"/>
  </w:num>
  <w:num w:numId="11">
    <w:abstractNumId w:val="6"/>
  </w:num>
  <w:num w:numId="12">
    <w:abstractNumId w:val="8"/>
  </w:num>
  <w:num w:numId="13">
    <w:abstractNumId w:val="14"/>
  </w:num>
  <w:num w:numId="14">
    <w:abstractNumId w:val="12"/>
  </w:num>
  <w:num w:numId="15">
    <w:abstractNumId w:val="10"/>
  </w:num>
  <w:num w:numId="16">
    <w:abstractNumId w:val="2"/>
  </w:num>
  <w:num w:numId="17">
    <w:abstractNumId w:val="13"/>
  </w:num>
  <w:num w:numId="18">
    <w:abstractNumId w:val="18"/>
  </w:num>
  <w:num w:numId="19">
    <w:abstractNumId w:val="20"/>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1143C"/>
    <w:rsid w:val="0001715E"/>
    <w:rsid w:val="00034159"/>
    <w:rsid w:val="00034C15"/>
    <w:rsid w:val="00045753"/>
    <w:rsid w:val="000514E6"/>
    <w:rsid w:val="00056988"/>
    <w:rsid w:val="00067AD4"/>
    <w:rsid w:val="0007795D"/>
    <w:rsid w:val="00077A34"/>
    <w:rsid w:val="00080A5F"/>
    <w:rsid w:val="00082459"/>
    <w:rsid w:val="00090896"/>
    <w:rsid w:val="0009406A"/>
    <w:rsid w:val="000A2774"/>
    <w:rsid w:val="000A515B"/>
    <w:rsid w:val="000B0B55"/>
    <w:rsid w:val="000B3102"/>
    <w:rsid w:val="000C41C3"/>
    <w:rsid w:val="000C650B"/>
    <w:rsid w:val="000D5B46"/>
    <w:rsid w:val="000E0C63"/>
    <w:rsid w:val="000E584B"/>
    <w:rsid w:val="001012B5"/>
    <w:rsid w:val="001067AA"/>
    <w:rsid w:val="00110789"/>
    <w:rsid w:val="001174B9"/>
    <w:rsid w:val="00121897"/>
    <w:rsid w:val="0013786E"/>
    <w:rsid w:val="001407B3"/>
    <w:rsid w:val="00160593"/>
    <w:rsid w:val="00172709"/>
    <w:rsid w:val="00194329"/>
    <w:rsid w:val="001A33F4"/>
    <w:rsid w:val="001B6B80"/>
    <w:rsid w:val="001C14D2"/>
    <w:rsid w:val="001C4486"/>
    <w:rsid w:val="001C51BF"/>
    <w:rsid w:val="001D3C22"/>
    <w:rsid w:val="001D433B"/>
    <w:rsid w:val="001D4A9A"/>
    <w:rsid w:val="001E1B19"/>
    <w:rsid w:val="001E38D5"/>
    <w:rsid w:val="001E5817"/>
    <w:rsid w:val="001F08E7"/>
    <w:rsid w:val="001F0ACC"/>
    <w:rsid w:val="00210AB0"/>
    <w:rsid w:val="00210C3B"/>
    <w:rsid w:val="00211CE7"/>
    <w:rsid w:val="002152C8"/>
    <w:rsid w:val="00224260"/>
    <w:rsid w:val="00226AB3"/>
    <w:rsid w:val="00230E0B"/>
    <w:rsid w:val="002414FD"/>
    <w:rsid w:val="00242E55"/>
    <w:rsid w:val="00243970"/>
    <w:rsid w:val="00253980"/>
    <w:rsid w:val="002618B3"/>
    <w:rsid w:val="00263BC7"/>
    <w:rsid w:val="00264EF2"/>
    <w:rsid w:val="00272090"/>
    <w:rsid w:val="0027272B"/>
    <w:rsid w:val="002762A5"/>
    <w:rsid w:val="00283925"/>
    <w:rsid w:val="0028404C"/>
    <w:rsid w:val="00284B68"/>
    <w:rsid w:val="00285E17"/>
    <w:rsid w:val="00290A87"/>
    <w:rsid w:val="00297D4F"/>
    <w:rsid w:val="002A4480"/>
    <w:rsid w:val="002A62C0"/>
    <w:rsid w:val="002B0463"/>
    <w:rsid w:val="002B675F"/>
    <w:rsid w:val="002E399A"/>
    <w:rsid w:val="002E67E0"/>
    <w:rsid w:val="002E7121"/>
    <w:rsid w:val="002F54B4"/>
    <w:rsid w:val="0030338D"/>
    <w:rsid w:val="00303CF0"/>
    <w:rsid w:val="00306043"/>
    <w:rsid w:val="00307076"/>
    <w:rsid w:val="0031525A"/>
    <w:rsid w:val="00315E9B"/>
    <w:rsid w:val="003163AE"/>
    <w:rsid w:val="00320318"/>
    <w:rsid w:val="00337AB2"/>
    <w:rsid w:val="0034720A"/>
    <w:rsid w:val="00355A59"/>
    <w:rsid w:val="00357D03"/>
    <w:rsid w:val="00363F22"/>
    <w:rsid w:val="003702D4"/>
    <w:rsid w:val="00381F28"/>
    <w:rsid w:val="00384D37"/>
    <w:rsid w:val="00391CB2"/>
    <w:rsid w:val="00392D14"/>
    <w:rsid w:val="003A0730"/>
    <w:rsid w:val="003A2CF8"/>
    <w:rsid w:val="003A315C"/>
    <w:rsid w:val="003A3A95"/>
    <w:rsid w:val="003A7ACA"/>
    <w:rsid w:val="003B06BA"/>
    <w:rsid w:val="003B1A43"/>
    <w:rsid w:val="003C1E95"/>
    <w:rsid w:val="003C5E7B"/>
    <w:rsid w:val="003D3252"/>
    <w:rsid w:val="003E5F1F"/>
    <w:rsid w:val="003E7DFE"/>
    <w:rsid w:val="00410955"/>
    <w:rsid w:val="00414407"/>
    <w:rsid w:val="0044570C"/>
    <w:rsid w:val="00446E13"/>
    <w:rsid w:val="00450196"/>
    <w:rsid w:val="00453ADA"/>
    <w:rsid w:val="00463B00"/>
    <w:rsid w:val="00470E0F"/>
    <w:rsid w:val="00472132"/>
    <w:rsid w:val="004731E2"/>
    <w:rsid w:val="00486976"/>
    <w:rsid w:val="00493A03"/>
    <w:rsid w:val="004940FA"/>
    <w:rsid w:val="00494930"/>
    <w:rsid w:val="004975DA"/>
    <w:rsid w:val="004A2E15"/>
    <w:rsid w:val="004B47FD"/>
    <w:rsid w:val="004B75CB"/>
    <w:rsid w:val="004D67C6"/>
    <w:rsid w:val="004E0FB5"/>
    <w:rsid w:val="004E7B4C"/>
    <w:rsid w:val="004F6BA4"/>
    <w:rsid w:val="0050038A"/>
    <w:rsid w:val="0050190D"/>
    <w:rsid w:val="00504E16"/>
    <w:rsid w:val="00506D40"/>
    <w:rsid w:val="005111D5"/>
    <w:rsid w:val="00521B09"/>
    <w:rsid w:val="00522BA3"/>
    <w:rsid w:val="00533943"/>
    <w:rsid w:val="00534134"/>
    <w:rsid w:val="00534179"/>
    <w:rsid w:val="00554CCF"/>
    <w:rsid w:val="0055778C"/>
    <w:rsid w:val="0056255D"/>
    <w:rsid w:val="00570C7E"/>
    <w:rsid w:val="0058710F"/>
    <w:rsid w:val="005912CE"/>
    <w:rsid w:val="00594C53"/>
    <w:rsid w:val="005A12CD"/>
    <w:rsid w:val="005C3314"/>
    <w:rsid w:val="005E549F"/>
    <w:rsid w:val="005E65DD"/>
    <w:rsid w:val="005F7BD6"/>
    <w:rsid w:val="0061372E"/>
    <w:rsid w:val="00625D73"/>
    <w:rsid w:val="00640990"/>
    <w:rsid w:val="0064113A"/>
    <w:rsid w:val="00653B7B"/>
    <w:rsid w:val="00655758"/>
    <w:rsid w:val="00661232"/>
    <w:rsid w:val="00672011"/>
    <w:rsid w:val="0069386E"/>
    <w:rsid w:val="006A48B3"/>
    <w:rsid w:val="006C05C8"/>
    <w:rsid w:val="006C062F"/>
    <w:rsid w:val="006C3EA4"/>
    <w:rsid w:val="006C6D60"/>
    <w:rsid w:val="006D0466"/>
    <w:rsid w:val="006D0D26"/>
    <w:rsid w:val="006D33DF"/>
    <w:rsid w:val="006D35AD"/>
    <w:rsid w:val="006E1CA2"/>
    <w:rsid w:val="006E7DA5"/>
    <w:rsid w:val="006F000D"/>
    <w:rsid w:val="006F50F4"/>
    <w:rsid w:val="006F6ED4"/>
    <w:rsid w:val="006F7535"/>
    <w:rsid w:val="00705A30"/>
    <w:rsid w:val="0071532A"/>
    <w:rsid w:val="00740ED3"/>
    <w:rsid w:val="0074750E"/>
    <w:rsid w:val="00750528"/>
    <w:rsid w:val="00757269"/>
    <w:rsid w:val="00757DF1"/>
    <w:rsid w:val="00761936"/>
    <w:rsid w:val="00763EAB"/>
    <w:rsid w:val="0076600B"/>
    <w:rsid w:val="00770BF7"/>
    <w:rsid w:val="00776CAF"/>
    <w:rsid w:val="00780FAB"/>
    <w:rsid w:val="00793ABE"/>
    <w:rsid w:val="00796968"/>
    <w:rsid w:val="00796D2F"/>
    <w:rsid w:val="007A6481"/>
    <w:rsid w:val="007B458A"/>
    <w:rsid w:val="007B7B0D"/>
    <w:rsid w:val="007C0E50"/>
    <w:rsid w:val="007C703F"/>
    <w:rsid w:val="007D06A9"/>
    <w:rsid w:val="00801C69"/>
    <w:rsid w:val="00814019"/>
    <w:rsid w:val="00814429"/>
    <w:rsid w:val="008163D2"/>
    <w:rsid w:val="00817314"/>
    <w:rsid w:val="00823261"/>
    <w:rsid w:val="00825A6E"/>
    <w:rsid w:val="00826A42"/>
    <w:rsid w:val="00837981"/>
    <w:rsid w:val="008462BF"/>
    <w:rsid w:val="00865B99"/>
    <w:rsid w:val="00866BDF"/>
    <w:rsid w:val="00873481"/>
    <w:rsid w:val="0088085A"/>
    <w:rsid w:val="0088094C"/>
    <w:rsid w:val="00887430"/>
    <w:rsid w:val="00894641"/>
    <w:rsid w:val="008A7017"/>
    <w:rsid w:val="008C2D04"/>
    <w:rsid w:val="008D0A52"/>
    <w:rsid w:val="008D0ADB"/>
    <w:rsid w:val="008D5947"/>
    <w:rsid w:val="008E79B8"/>
    <w:rsid w:val="008E7F58"/>
    <w:rsid w:val="008F36D6"/>
    <w:rsid w:val="008F5ABE"/>
    <w:rsid w:val="008F78F7"/>
    <w:rsid w:val="009004C2"/>
    <w:rsid w:val="00905A5D"/>
    <w:rsid w:val="0091411E"/>
    <w:rsid w:val="009216ED"/>
    <w:rsid w:val="0093796F"/>
    <w:rsid w:val="00941887"/>
    <w:rsid w:val="00945386"/>
    <w:rsid w:val="0095219D"/>
    <w:rsid w:val="00952A2B"/>
    <w:rsid w:val="00967512"/>
    <w:rsid w:val="00976774"/>
    <w:rsid w:val="0098089C"/>
    <w:rsid w:val="00981855"/>
    <w:rsid w:val="00983941"/>
    <w:rsid w:val="0098681A"/>
    <w:rsid w:val="009B112F"/>
    <w:rsid w:val="009B434B"/>
    <w:rsid w:val="009C3EFE"/>
    <w:rsid w:val="009C5145"/>
    <w:rsid w:val="009C5E0F"/>
    <w:rsid w:val="009D10A4"/>
    <w:rsid w:val="009D524F"/>
    <w:rsid w:val="009E2C2E"/>
    <w:rsid w:val="009E58FA"/>
    <w:rsid w:val="009E7779"/>
    <w:rsid w:val="009F65C1"/>
    <w:rsid w:val="009F670D"/>
    <w:rsid w:val="00A057D4"/>
    <w:rsid w:val="00A15365"/>
    <w:rsid w:val="00A20780"/>
    <w:rsid w:val="00A27874"/>
    <w:rsid w:val="00A36FDE"/>
    <w:rsid w:val="00A37315"/>
    <w:rsid w:val="00A46A10"/>
    <w:rsid w:val="00A46B0E"/>
    <w:rsid w:val="00A46D57"/>
    <w:rsid w:val="00A51BDF"/>
    <w:rsid w:val="00A60ABA"/>
    <w:rsid w:val="00A7544C"/>
    <w:rsid w:val="00A81D1B"/>
    <w:rsid w:val="00A85565"/>
    <w:rsid w:val="00A86739"/>
    <w:rsid w:val="00AD5096"/>
    <w:rsid w:val="00AD7AD7"/>
    <w:rsid w:val="00AE1446"/>
    <w:rsid w:val="00AE57C2"/>
    <w:rsid w:val="00AF0331"/>
    <w:rsid w:val="00B03859"/>
    <w:rsid w:val="00B2262C"/>
    <w:rsid w:val="00B230AA"/>
    <w:rsid w:val="00B2317E"/>
    <w:rsid w:val="00B3263F"/>
    <w:rsid w:val="00B35DB8"/>
    <w:rsid w:val="00B37C4A"/>
    <w:rsid w:val="00B42EA8"/>
    <w:rsid w:val="00B46D7F"/>
    <w:rsid w:val="00B47600"/>
    <w:rsid w:val="00B47F87"/>
    <w:rsid w:val="00B603B8"/>
    <w:rsid w:val="00B60A6E"/>
    <w:rsid w:val="00B62DF9"/>
    <w:rsid w:val="00B80887"/>
    <w:rsid w:val="00B84877"/>
    <w:rsid w:val="00B8687C"/>
    <w:rsid w:val="00B933AD"/>
    <w:rsid w:val="00BB175F"/>
    <w:rsid w:val="00BC5C34"/>
    <w:rsid w:val="00BC7491"/>
    <w:rsid w:val="00BD51BB"/>
    <w:rsid w:val="00BE382C"/>
    <w:rsid w:val="00BE7B86"/>
    <w:rsid w:val="00BF5ED3"/>
    <w:rsid w:val="00BF712B"/>
    <w:rsid w:val="00C02C4F"/>
    <w:rsid w:val="00C03E29"/>
    <w:rsid w:val="00C07F48"/>
    <w:rsid w:val="00C16A24"/>
    <w:rsid w:val="00C2095B"/>
    <w:rsid w:val="00C25D0C"/>
    <w:rsid w:val="00C26FFC"/>
    <w:rsid w:val="00C35FDB"/>
    <w:rsid w:val="00C3657C"/>
    <w:rsid w:val="00C4326F"/>
    <w:rsid w:val="00C44031"/>
    <w:rsid w:val="00C47D8D"/>
    <w:rsid w:val="00C61E66"/>
    <w:rsid w:val="00C640F3"/>
    <w:rsid w:val="00C66F66"/>
    <w:rsid w:val="00C67363"/>
    <w:rsid w:val="00C673DA"/>
    <w:rsid w:val="00C845B0"/>
    <w:rsid w:val="00C84EA3"/>
    <w:rsid w:val="00C922E7"/>
    <w:rsid w:val="00C94D6C"/>
    <w:rsid w:val="00CA1BEA"/>
    <w:rsid w:val="00CA495E"/>
    <w:rsid w:val="00CA78BD"/>
    <w:rsid w:val="00CB1D1E"/>
    <w:rsid w:val="00CB2754"/>
    <w:rsid w:val="00CB2D98"/>
    <w:rsid w:val="00CB4015"/>
    <w:rsid w:val="00CB4269"/>
    <w:rsid w:val="00CB463C"/>
    <w:rsid w:val="00CC4D5C"/>
    <w:rsid w:val="00CE0EEA"/>
    <w:rsid w:val="00CE53CD"/>
    <w:rsid w:val="00D01346"/>
    <w:rsid w:val="00D017A1"/>
    <w:rsid w:val="00D01915"/>
    <w:rsid w:val="00D01AAA"/>
    <w:rsid w:val="00D06895"/>
    <w:rsid w:val="00D13484"/>
    <w:rsid w:val="00D13A23"/>
    <w:rsid w:val="00D3314E"/>
    <w:rsid w:val="00D35C0F"/>
    <w:rsid w:val="00D35F86"/>
    <w:rsid w:val="00D42BD4"/>
    <w:rsid w:val="00D438A1"/>
    <w:rsid w:val="00D43986"/>
    <w:rsid w:val="00D550E6"/>
    <w:rsid w:val="00D56CF6"/>
    <w:rsid w:val="00D56E9B"/>
    <w:rsid w:val="00D571E4"/>
    <w:rsid w:val="00D81CFB"/>
    <w:rsid w:val="00D87902"/>
    <w:rsid w:val="00DA02F3"/>
    <w:rsid w:val="00DA3532"/>
    <w:rsid w:val="00DB05D9"/>
    <w:rsid w:val="00DB413A"/>
    <w:rsid w:val="00DC1C19"/>
    <w:rsid w:val="00DE7397"/>
    <w:rsid w:val="00DF0E49"/>
    <w:rsid w:val="00DF2BCB"/>
    <w:rsid w:val="00DF3F74"/>
    <w:rsid w:val="00DF562E"/>
    <w:rsid w:val="00E02978"/>
    <w:rsid w:val="00E52906"/>
    <w:rsid w:val="00E54C5D"/>
    <w:rsid w:val="00E56E19"/>
    <w:rsid w:val="00E73A23"/>
    <w:rsid w:val="00E777B3"/>
    <w:rsid w:val="00EA7E30"/>
    <w:rsid w:val="00EB079A"/>
    <w:rsid w:val="00EB3DF6"/>
    <w:rsid w:val="00EC063C"/>
    <w:rsid w:val="00EC70EF"/>
    <w:rsid w:val="00ED1CCB"/>
    <w:rsid w:val="00ED3021"/>
    <w:rsid w:val="00ED5A97"/>
    <w:rsid w:val="00EE2C7A"/>
    <w:rsid w:val="00EE73BE"/>
    <w:rsid w:val="00EF314F"/>
    <w:rsid w:val="00EF69EC"/>
    <w:rsid w:val="00EF75F5"/>
    <w:rsid w:val="00F02E98"/>
    <w:rsid w:val="00F053EE"/>
    <w:rsid w:val="00F164DC"/>
    <w:rsid w:val="00F17D3F"/>
    <w:rsid w:val="00F20681"/>
    <w:rsid w:val="00F22BB7"/>
    <w:rsid w:val="00F31A9B"/>
    <w:rsid w:val="00F35477"/>
    <w:rsid w:val="00F3605C"/>
    <w:rsid w:val="00F52010"/>
    <w:rsid w:val="00F520B1"/>
    <w:rsid w:val="00F64858"/>
    <w:rsid w:val="00F73401"/>
    <w:rsid w:val="00F7389D"/>
    <w:rsid w:val="00F76C45"/>
    <w:rsid w:val="00F771C2"/>
    <w:rsid w:val="00F91426"/>
    <w:rsid w:val="00F92DB5"/>
    <w:rsid w:val="00F93A2B"/>
    <w:rsid w:val="00F96B56"/>
    <w:rsid w:val="00FA7FD6"/>
    <w:rsid w:val="00FB0D4B"/>
    <w:rsid w:val="00FB4698"/>
    <w:rsid w:val="00FB4D6C"/>
    <w:rsid w:val="00FC3827"/>
    <w:rsid w:val="00FC7DF9"/>
    <w:rsid w:val="00FD1BF8"/>
    <w:rsid w:val="00FD26AF"/>
    <w:rsid w:val="00FE480E"/>
    <w:rsid w:val="00FE5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1E041"/>
  <w15:docId w15:val="{D3BC16B7-290E-4185-AA55-D640E849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34"/>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paragraph" w:styleId="NormalWeb">
    <w:name w:val="Normal (Web)"/>
    <w:basedOn w:val="Normal"/>
    <w:uiPriority w:val="99"/>
    <w:unhideWhenUsed/>
    <w:rsid w:val="008462BF"/>
    <w:pPr>
      <w:spacing w:before="100" w:beforeAutospacing="1" w:after="100" w:afterAutospacing="1"/>
      <w:jc w:val="left"/>
    </w:pPr>
    <w:rPr>
      <w:szCs w:val="24"/>
    </w:rPr>
  </w:style>
  <w:style w:type="paragraph" w:styleId="Notedebasdepage">
    <w:name w:val="footnote text"/>
    <w:basedOn w:val="Normal"/>
    <w:link w:val="NotedebasdepageCar"/>
    <w:rsid w:val="00B46D7F"/>
    <w:rPr>
      <w:sz w:val="20"/>
    </w:rPr>
  </w:style>
  <w:style w:type="character" w:customStyle="1" w:styleId="NotedebasdepageCar">
    <w:name w:val="Note de bas de page Car"/>
    <w:basedOn w:val="Policepardfaut"/>
    <w:link w:val="Notedebasdepage"/>
    <w:rsid w:val="00B46D7F"/>
  </w:style>
  <w:style w:type="character" w:styleId="Appelnotedebasdep">
    <w:name w:val="footnote reference"/>
    <w:basedOn w:val="Policepardfaut"/>
    <w:rsid w:val="00B46D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0784">
      <w:bodyDiv w:val="1"/>
      <w:marLeft w:val="0"/>
      <w:marRight w:val="0"/>
      <w:marTop w:val="0"/>
      <w:marBottom w:val="0"/>
      <w:divBdr>
        <w:top w:val="none" w:sz="0" w:space="0" w:color="auto"/>
        <w:left w:val="none" w:sz="0" w:space="0" w:color="auto"/>
        <w:bottom w:val="none" w:sz="0" w:space="0" w:color="auto"/>
        <w:right w:val="none" w:sz="0" w:space="0" w:color="auto"/>
      </w:divBdr>
    </w:div>
    <w:div w:id="417872546">
      <w:bodyDiv w:val="1"/>
      <w:marLeft w:val="0"/>
      <w:marRight w:val="0"/>
      <w:marTop w:val="0"/>
      <w:marBottom w:val="0"/>
      <w:divBdr>
        <w:top w:val="none" w:sz="0" w:space="0" w:color="auto"/>
        <w:left w:val="none" w:sz="0" w:space="0" w:color="auto"/>
        <w:bottom w:val="none" w:sz="0" w:space="0" w:color="auto"/>
        <w:right w:val="none" w:sz="0" w:space="0" w:color="auto"/>
      </w:divBdr>
    </w:div>
    <w:div w:id="497311967">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1694</Words>
  <Characters>9318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21</cp:revision>
  <cp:lastPrinted>2018-05-24T19:57:00Z</cp:lastPrinted>
  <dcterms:created xsi:type="dcterms:W3CDTF">2019-11-05T21:33:00Z</dcterms:created>
  <dcterms:modified xsi:type="dcterms:W3CDTF">2019-11-29T23:10:00Z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1285955884</vt:i4>
  </property>
  <property fmtid="{D5CDD505-2E9C-101B-9397-08002B2CF9AE}" pid="3" name="_NewReviewCycle">
    <vt:lpwstr/>
  </property>
  <property fmtid="{D5CDD505-2E9C-101B-9397-08002B2CF9AE}" pid="4" name="_EmailSubject">
    <vt:lpwstr>Concl.</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1438920216</vt:i4>
  </property>
  <property fmtid="{D5CDD505-2E9C-101B-9397-08002B2CF9AE}" pid="8" name="_ReviewingToolsShownOnce">
    <vt:lpwstr/>
  </property>
</Properties>
</file>