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F42" w14:textId="77777777" w:rsidR="007B458A" w:rsidRPr="00054FE7" w:rsidRDefault="007B458A" w:rsidP="007B458A">
      <w:pPr>
        <w:pStyle w:val="Normalsansretrait"/>
      </w:pPr>
    </w:p>
    <w:p w14:paraId="481F202C" w14:textId="23661750"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ASSIGNATION EN RÉFÉRÉ</w:t>
      </w:r>
      <w:r w:rsidR="005E041B">
        <w:rPr>
          <w:b/>
          <w:sz w:val="36"/>
          <w:szCs w:val="36"/>
        </w:rPr>
        <w:t xml:space="preserve"> </w:t>
      </w:r>
    </w:p>
    <w:p w14:paraId="6D2201F0"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PAR-DEVANT LE PRÉSIDENT</w:t>
      </w:r>
    </w:p>
    <w:p w14:paraId="4CB138BE" w14:textId="77777777" w:rsid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PRÈS LE TRIBUNAL DE GRANDE INSTANCE DE […]</w:t>
      </w:r>
    </w:p>
    <w:p w14:paraId="45DAA1DF" w14:textId="77777777" w:rsid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p>
    <w:p w14:paraId="6F80C179" w14:textId="50ECE895"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i/>
          <w:sz w:val="28"/>
          <w:szCs w:val="28"/>
        </w:rPr>
      </w:pPr>
      <w:r w:rsidRPr="006659DE">
        <w:rPr>
          <w:i/>
          <w:sz w:val="28"/>
          <w:szCs w:val="28"/>
        </w:rPr>
        <w:t xml:space="preserve">(Article </w:t>
      </w:r>
      <w:r w:rsidR="00CF1898">
        <w:rPr>
          <w:i/>
          <w:sz w:val="28"/>
          <w:szCs w:val="28"/>
        </w:rPr>
        <w:t>809, al. 1</w:t>
      </w:r>
      <w:r w:rsidR="00CF1898" w:rsidRPr="00CF1898">
        <w:rPr>
          <w:i/>
          <w:sz w:val="28"/>
          <w:szCs w:val="28"/>
          <w:vertAlign w:val="superscript"/>
        </w:rPr>
        <w:t>er</w:t>
      </w:r>
      <w:r w:rsidR="00CF1898">
        <w:rPr>
          <w:i/>
          <w:sz w:val="28"/>
          <w:szCs w:val="28"/>
        </w:rPr>
        <w:t xml:space="preserve"> </w:t>
      </w:r>
      <w:r w:rsidRPr="006659DE">
        <w:rPr>
          <w:i/>
          <w:sz w:val="28"/>
          <w:szCs w:val="28"/>
        </w:rPr>
        <w:t>du Code de procédure civile)</w:t>
      </w:r>
    </w:p>
    <w:p w14:paraId="398B3A84" w14:textId="77777777" w:rsidR="006659DE" w:rsidRP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pPr>
    </w:p>
    <w:p w14:paraId="2D50A1A9" w14:textId="77777777" w:rsidR="00211CE7" w:rsidRDefault="00211CE7" w:rsidP="007B458A"/>
    <w:p w14:paraId="0956A3B8" w14:textId="77777777" w:rsidR="003671E8" w:rsidRDefault="003671E8" w:rsidP="007B458A"/>
    <w:p w14:paraId="5BD37CB8" w14:textId="77777777" w:rsidR="007B458A" w:rsidRDefault="007B458A" w:rsidP="007B458A">
      <w:r w:rsidRPr="000A486D">
        <w:t xml:space="preserve">L’AN DEUX </w:t>
      </w:r>
      <w:r w:rsidR="00C66F66">
        <w:t xml:space="preserve">MILLE </w:t>
      </w:r>
      <w:r w:rsidR="00DB05D9">
        <w:t>[…]</w:t>
      </w:r>
    </w:p>
    <w:p w14:paraId="5B64857F" w14:textId="77777777" w:rsidR="007B458A" w:rsidRDefault="007B458A" w:rsidP="007B458A">
      <w:r>
        <w:t>ET LE</w:t>
      </w:r>
      <w:r w:rsidR="00941887">
        <w:t xml:space="preserve"> </w:t>
      </w:r>
    </w:p>
    <w:p w14:paraId="3A622D22" w14:textId="77777777" w:rsidR="007B458A" w:rsidRDefault="007B458A" w:rsidP="007B458A">
      <w:pPr>
        <w:rPr>
          <w:rStyle w:val="Policequestion"/>
          <w:b w:val="0"/>
        </w:rPr>
      </w:pPr>
    </w:p>
    <w:p w14:paraId="636A3C94" w14:textId="77777777" w:rsidR="007B458A" w:rsidRPr="00472692" w:rsidRDefault="007B458A" w:rsidP="007B458A">
      <w:pPr>
        <w:rPr>
          <w:rStyle w:val="Policequestion"/>
          <w:b w:val="0"/>
        </w:rPr>
      </w:pPr>
    </w:p>
    <w:p w14:paraId="7DA2E1B0" w14:textId="6D559F96" w:rsidR="007B458A" w:rsidRDefault="002B5975" w:rsidP="007B458A">
      <w:pPr>
        <w:pStyle w:val="Titre2"/>
        <w:keepNext w:val="0"/>
        <w:rPr>
          <w:u w:val="none"/>
        </w:rPr>
      </w:pPr>
      <w:r>
        <w:t>À</w:t>
      </w:r>
      <w:r w:rsidR="007B458A">
        <w:t xml:space="preserve"> LA </w:t>
      </w:r>
      <w:r w:rsidR="00DB05D9">
        <w:t>DEMANDE</w:t>
      </w:r>
      <w:r w:rsidR="007B458A">
        <w:t xml:space="preserve"> DE</w:t>
      </w:r>
      <w:r w:rsidR="007B458A">
        <w:rPr>
          <w:u w:val="none"/>
        </w:rPr>
        <w:t> :</w:t>
      </w:r>
    </w:p>
    <w:p w14:paraId="6CB91AAA" w14:textId="77777777" w:rsidR="00DB05D9" w:rsidRDefault="00DB05D9" w:rsidP="007B458A"/>
    <w:p w14:paraId="1440E42C"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187E1B91" w14:textId="77777777" w:rsidR="00C640F3" w:rsidRDefault="00C640F3" w:rsidP="003A2CF8">
      <w:pPr>
        <w:rPr>
          <w:b/>
        </w:rPr>
      </w:pPr>
    </w:p>
    <w:p w14:paraId="38F44A44"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0ED1DC36" w14:textId="77777777" w:rsidR="00DB05D9" w:rsidRDefault="00DB05D9" w:rsidP="007B458A"/>
    <w:p w14:paraId="23F9BE5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3F08B8D9" w14:textId="77777777" w:rsidR="00C640F3" w:rsidRDefault="00C640F3" w:rsidP="007B458A">
      <w:pPr>
        <w:rPr>
          <w:b/>
        </w:rPr>
      </w:pPr>
    </w:p>
    <w:p w14:paraId="4CA8261D"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69CAF2BC" w14:textId="77777777" w:rsidR="00C640F3" w:rsidRDefault="00C640F3" w:rsidP="007B458A"/>
    <w:p w14:paraId="29CF0C16" w14:textId="77777777" w:rsidR="00C640F3" w:rsidRPr="003A315C" w:rsidRDefault="00C640F3" w:rsidP="00C640F3">
      <w:pPr>
        <w:jc w:val="center"/>
        <w:rPr>
          <w:b/>
          <w:i/>
        </w:rPr>
      </w:pPr>
      <w:r w:rsidRPr="003A315C">
        <w:rPr>
          <w:b/>
        </w:rPr>
        <w:t>[</w:t>
      </w:r>
      <w:r w:rsidRPr="003A315C">
        <w:rPr>
          <w:b/>
          <w:i/>
        </w:rPr>
        <w:t xml:space="preserve">Si </w:t>
      </w:r>
      <w:r w:rsidR="00CB468D">
        <w:rPr>
          <w:b/>
          <w:i/>
        </w:rPr>
        <w:t>avocat</w:t>
      </w:r>
      <w:r w:rsidRPr="003A315C">
        <w:rPr>
          <w:b/>
        </w:rPr>
        <w:t>]</w:t>
      </w:r>
    </w:p>
    <w:p w14:paraId="070F7027" w14:textId="77777777" w:rsidR="00C640F3" w:rsidRDefault="00C640F3" w:rsidP="007B458A"/>
    <w:p w14:paraId="764E3892" w14:textId="77777777" w:rsidR="00C640F3" w:rsidRDefault="00C640F3" w:rsidP="007B458A">
      <w:r w:rsidRPr="00C640F3">
        <w:rPr>
          <w:b/>
          <w:u w:val="single"/>
        </w:rPr>
        <w:t>Ayant pour avocat</w:t>
      </w:r>
      <w:r>
        <w:t> :</w:t>
      </w:r>
    </w:p>
    <w:p w14:paraId="31DD1FEB" w14:textId="77777777" w:rsidR="00C640F3" w:rsidRDefault="00C640F3" w:rsidP="007B458A"/>
    <w:p w14:paraId="0B1E3CFC" w14:textId="77777777" w:rsidR="00C640F3" w:rsidRDefault="00C640F3" w:rsidP="00C640F3">
      <w:r w:rsidRPr="00C640F3">
        <w:rPr>
          <w:b/>
        </w:rPr>
        <w:t xml:space="preserve">Maître </w:t>
      </w:r>
      <w:r w:rsidR="003C5E7B" w:rsidRPr="00470DF8">
        <w:rPr>
          <w:i/>
        </w:rPr>
        <w:t>[nom, prénom]</w:t>
      </w:r>
      <w:r w:rsidRPr="00470DF8">
        <w:t>,</w:t>
      </w:r>
      <w:r>
        <w:t xml:space="preserve"> Avocat inscrit au Barreau de </w:t>
      </w:r>
      <w:r w:rsidR="003C5E7B" w:rsidRPr="003C5E7B">
        <w:rPr>
          <w:i/>
        </w:rPr>
        <w:t>[ville]</w:t>
      </w:r>
      <w:r>
        <w:t xml:space="preserve">, y demeurant </w:t>
      </w:r>
      <w:r w:rsidRPr="003C5E7B">
        <w:rPr>
          <w:i/>
        </w:rPr>
        <w:t>[adresse]</w:t>
      </w:r>
    </w:p>
    <w:p w14:paraId="22165562" w14:textId="77777777" w:rsidR="00AF0331" w:rsidRDefault="00AF0331" w:rsidP="007B458A"/>
    <w:p w14:paraId="4DD64F2B" w14:textId="77777777" w:rsidR="00861B2C" w:rsidRPr="00C640F3" w:rsidRDefault="00861B2C" w:rsidP="00861B2C">
      <w:r>
        <w:t>Au c</w:t>
      </w:r>
      <w:r w:rsidRPr="00D16A3F">
        <w:t xml:space="preserve">abinet duquel il est fait élection de domicile </w:t>
      </w:r>
      <w:r>
        <w:t>et qui se constitue sur la présente assignation et ses suites</w:t>
      </w:r>
    </w:p>
    <w:p w14:paraId="31A7F1CC" w14:textId="77777777" w:rsidR="00C34B50" w:rsidRDefault="00C34B50" w:rsidP="007B458A"/>
    <w:p w14:paraId="12F3FC66" w14:textId="77777777" w:rsidR="00861B2C" w:rsidRPr="00C2797C" w:rsidRDefault="00861B2C" w:rsidP="007B458A"/>
    <w:p w14:paraId="35268E00" w14:textId="77777777" w:rsidR="007B458A" w:rsidRDefault="007B458A" w:rsidP="007B458A">
      <w:pPr>
        <w:pStyle w:val="Titre2"/>
      </w:pPr>
      <w:r>
        <w:t>J'AI HUISSIER SOUSSIGN</w:t>
      </w:r>
      <w:r w:rsidR="006F7535">
        <w:t>É :</w:t>
      </w:r>
    </w:p>
    <w:p w14:paraId="232271A4" w14:textId="77777777" w:rsidR="007B458A" w:rsidRDefault="007B458A" w:rsidP="007B458A"/>
    <w:p w14:paraId="7B6E59AC" w14:textId="77777777" w:rsidR="007B458A" w:rsidRDefault="007B458A" w:rsidP="007B458A"/>
    <w:p w14:paraId="5373050F" w14:textId="77777777" w:rsidR="007B458A" w:rsidRDefault="007B458A" w:rsidP="007B458A"/>
    <w:p w14:paraId="7E95E7BD" w14:textId="77777777" w:rsidR="00AF0331" w:rsidRPr="00AF0331" w:rsidRDefault="00AF0331" w:rsidP="007B458A">
      <w:pPr>
        <w:rPr>
          <w:b/>
        </w:rPr>
      </w:pPr>
      <w:r w:rsidRPr="00AF0331">
        <w:rPr>
          <w:b/>
          <w:u w:val="single"/>
        </w:rPr>
        <w:t>DONNÉ ASSIGNATION À</w:t>
      </w:r>
      <w:r w:rsidRPr="00AF0331">
        <w:rPr>
          <w:b/>
        </w:rPr>
        <w:t> :</w:t>
      </w:r>
    </w:p>
    <w:p w14:paraId="57E82EF3" w14:textId="77777777" w:rsidR="00AF0331" w:rsidRDefault="00AF0331" w:rsidP="007B458A"/>
    <w:p w14:paraId="015E12B2" w14:textId="77777777" w:rsidR="00AF0331" w:rsidRDefault="00AF0331" w:rsidP="007B458A"/>
    <w:p w14:paraId="10FFF828" w14:textId="77777777" w:rsidR="00AF0331" w:rsidRPr="003A315C" w:rsidRDefault="00AF0331" w:rsidP="00AF0331">
      <w:pPr>
        <w:jc w:val="center"/>
        <w:rPr>
          <w:b/>
        </w:rPr>
      </w:pPr>
      <w:r w:rsidRPr="003A315C">
        <w:rPr>
          <w:b/>
        </w:rPr>
        <w:lastRenderedPageBreak/>
        <w:t>[</w:t>
      </w:r>
      <w:r w:rsidRPr="003A315C">
        <w:rPr>
          <w:b/>
          <w:i/>
        </w:rPr>
        <w:t>Si personne physique</w:t>
      </w:r>
      <w:r w:rsidRPr="003A315C">
        <w:rPr>
          <w:b/>
        </w:rPr>
        <w:t>]</w:t>
      </w:r>
    </w:p>
    <w:p w14:paraId="46DFC091" w14:textId="77777777" w:rsidR="00AF0331" w:rsidRDefault="00AF0331" w:rsidP="00AF0331">
      <w:pPr>
        <w:rPr>
          <w:b/>
        </w:rPr>
      </w:pPr>
    </w:p>
    <w:p w14:paraId="10EB5C33"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303CC055" w14:textId="77777777" w:rsidR="00AF0331" w:rsidRDefault="00AF0331" w:rsidP="00AF0331"/>
    <w:p w14:paraId="25AB5260" w14:textId="77777777" w:rsidR="00AF0331" w:rsidRDefault="00AF0331" w:rsidP="00AF0331">
      <w:r>
        <w:t>Où</w:t>
      </w:r>
      <w:r w:rsidRPr="00BD02CC">
        <w:t xml:space="preserve"> étant et parlant à</w:t>
      </w:r>
      <w:r>
        <w:t xml:space="preserve"> :</w:t>
      </w:r>
    </w:p>
    <w:p w14:paraId="3883EA04" w14:textId="77777777" w:rsidR="00AF0331" w:rsidRDefault="00AF0331" w:rsidP="00AF0331"/>
    <w:p w14:paraId="37B57DAF" w14:textId="77777777" w:rsidR="00AF0331" w:rsidRDefault="00AF0331" w:rsidP="00AF0331"/>
    <w:p w14:paraId="48A3816F" w14:textId="77777777" w:rsidR="00AF0331" w:rsidRPr="003A315C" w:rsidRDefault="00AF0331" w:rsidP="00AF0331">
      <w:pPr>
        <w:jc w:val="center"/>
        <w:rPr>
          <w:b/>
        </w:rPr>
      </w:pPr>
      <w:r w:rsidRPr="003A315C">
        <w:rPr>
          <w:b/>
        </w:rPr>
        <w:t>[</w:t>
      </w:r>
      <w:r w:rsidRPr="003A315C">
        <w:rPr>
          <w:b/>
          <w:i/>
        </w:rPr>
        <w:t>Si personne morale</w:t>
      </w:r>
      <w:r w:rsidRPr="003A315C">
        <w:rPr>
          <w:b/>
        </w:rPr>
        <w:t>]</w:t>
      </w:r>
    </w:p>
    <w:p w14:paraId="43A95784" w14:textId="77777777" w:rsidR="00AF0331" w:rsidRDefault="00AF0331" w:rsidP="00AF0331">
      <w:pPr>
        <w:rPr>
          <w:b/>
        </w:rPr>
      </w:pPr>
    </w:p>
    <w:p w14:paraId="528F34C6" w14:textId="77777777" w:rsidR="003C5E7B" w:rsidRDefault="003C5E7B" w:rsidP="003C5E7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5AE87741" w14:textId="77777777" w:rsidR="00AF0331" w:rsidRDefault="00AF0331" w:rsidP="00AF0331"/>
    <w:p w14:paraId="2333E4F6" w14:textId="77777777" w:rsidR="00AF0331" w:rsidRDefault="00AF0331" w:rsidP="00AF0331">
      <w:r>
        <w:t>Où</w:t>
      </w:r>
      <w:r w:rsidRPr="00BD02CC">
        <w:t xml:space="preserve"> étant et parlant à</w:t>
      </w:r>
      <w:r>
        <w:t xml:space="preserve"> :</w:t>
      </w:r>
    </w:p>
    <w:p w14:paraId="18E37DDF" w14:textId="77777777" w:rsidR="00AF0331" w:rsidRDefault="00AF0331" w:rsidP="00AF0331"/>
    <w:p w14:paraId="6A6098F2" w14:textId="77777777" w:rsidR="00AF0331" w:rsidRDefault="00AF0331" w:rsidP="007B458A"/>
    <w:p w14:paraId="16D859F4" w14:textId="77777777" w:rsidR="00AF0331" w:rsidRDefault="00AF0331" w:rsidP="007B458A">
      <w:pPr>
        <w:rPr>
          <w:b/>
          <w:u w:val="single"/>
        </w:rPr>
      </w:pPr>
      <w:r w:rsidRPr="00AF0331">
        <w:rPr>
          <w:b/>
          <w:u w:val="single"/>
        </w:rPr>
        <w:t>D’AVOIR À COMPARAÎTRE</w:t>
      </w:r>
      <w:r>
        <w:rPr>
          <w:b/>
          <w:u w:val="single"/>
        </w:rPr>
        <w:t> :</w:t>
      </w:r>
    </w:p>
    <w:p w14:paraId="04FF978C" w14:textId="77777777" w:rsidR="008E7D22" w:rsidRPr="00AF0331" w:rsidRDefault="008E7D22" w:rsidP="007B458A">
      <w:pPr>
        <w:rPr>
          <w:b/>
        </w:rPr>
      </w:pPr>
    </w:p>
    <w:p w14:paraId="5C658849" w14:textId="77777777" w:rsidR="00AF0331" w:rsidRDefault="00AF0331" w:rsidP="007B458A"/>
    <w:p w14:paraId="3E2A3BBA" w14:textId="77777777" w:rsidR="00787171" w:rsidRPr="00787171" w:rsidRDefault="00787171" w:rsidP="00787171">
      <w:pPr>
        <w:jc w:val="center"/>
        <w:rPr>
          <w:b/>
        </w:rPr>
      </w:pPr>
      <w:r w:rsidRPr="00787171">
        <w:rPr>
          <w:b/>
        </w:rPr>
        <w:t xml:space="preserve">Le </w:t>
      </w:r>
      <w:r w:rsidRPr="00787171">
        <w:rPr>
          <w:b/>
          <w:i/>
        </w:rPr>
        <w:t>[date]</w:t>
      </w:r>
      <w:r w:rsidRPr="00787171">
        <w:rPr>
          <w:b/>
        </w:rPr>
        <w:t xml:space="preserve"> à </w:t>
      </w:r>
      <w:r w:rsidRPr="00787171">
        <w:rPr>
          <w:b/>
          <w:i/>
        </w:rPr>
        <w:t>[heures]</w:t>
      </w:r>
    </w:p>
    <w:p w14:paraId="754214ED" w14:textId="77777777" w:rsidR="00787171" w:rsidRDefault="00787171" w:rsidP="007B458A"/>
    <w:p w14:paraId="0329B772" w14:textId="77777777" w:rsidR="007B458A" w:rsidRPr="008E7D22" w:rsidRDefault="00AF0331" w:rsidP="008E7D22">
      <w:pPr>
        <w:jc w:val="center"/>
        <w:rPr>
          <w:b/>
        </w:rPr>
      </w:pPr>
      <w:r w:rsidRPr="008E7D22">
        <w:rPr>
          <w:b/>
        </w:rPr>
        <w:t xml:space="preserve">Par-devant le </w:t>
      </w:r>
      <w:r w:rsidR="008117A5">
        <w:rPr>
          <w:b/>
        </w:rPr>
        <w:t xml:space="preserve">Président près le </w:t>
      </w:r>
      <w:r w:rsidRPr="008E7D22">
        <w:rPr>
          <w:b/>
        </w:rPr>
        <w:t xml:space="preserve">Tribunal de Grande Instance de </w:t>
      </w:r>
      <w:r w:rsidRPr="008E7D22">
        <w:rPr>
          <w:b/>
          <w:i/>
        </w:rPr>
        <w:t>[ville]</w:t>
      </w:r>
      <w:r w:rsidRPr="008E7D22">
        <w:rPr>
          <w:b/>
        </w:rPr>
        <w:t>, s</w:t>
      </w:r>
      <w:r w:rsidR="003A315C" w:rsidRPr="008E7D22">
        <w:rPr>
          <w:b/>
        </w:rPr>
        <w:t>éant dite ville</w:t>
      </w:r>
      <w:r w:rsidRPr="008E7D22">
        <w:rPr>
          <w:b/>
        </w:rPr>
        <w:t xml:space="preserve"> </w:t>
      </w:r>
      <w:r w:rsidRPr="008E7D22">
        <w:rPr>
          <w:b/>
          <w:i/>
        </w:rPr>
        <w:t>[adresse]</w:t>
      </w:r>
    </w:p>
    <w:p w14:paraId="726F40E4" w14:textId="77777777" w:rsidR="00AF0331" w:rsidRDefault="00AF0331" w:rsidP="007B458A"/>
    <w:p w14:paraId="311958AD" w14:textId="77777777" w:rsidR="00C26FFC" w:rsidRDefault="00C26FFC" w:rsidP="007B458A"/>
    <w:p w14:paraId="346BBA58" w14:textId="77777777" w:rsidR="00C26FFC" w:rsidRPr="00C26FFC" w:rsidRDefault="00C26FFC" w:rsidP="007B458A">
      <w:pPr>
        <w:rPr>
          <w:b/>
          <w:u w:val="single"/>
        </w:rPr>
      </w:pPr>
      <w:r w:rsidRPr="00C26FFC">
        <w:rPr>
          <w:b/>
          <w:u w:val="single"/>
        </w:rPr>
        <w:t>ET L’INFORME :</w:t>
      </w:r>
    </w:p>
    <w:p w14:paraId="23D87F1D" w14:textId="77777777" w:rsidR="00C26FFC" w:rsidRDefault="00C26FFC" w:rsidP="007B458A"/>
    <w:p w14:paraId="43913767" w14:textId="77777777" w:rsidR="00C26FFC" w:rsidRDefault="00C26FFC" w:rsidP="007B458A">
      <w:r>
        <w:t>Qu’un procès lui est intenté pour les raisons exposées ci-après.</w:t>
      </w:r>
    </w:p>
    <w:p w14:paraId="35074947" w14:textId="77777777" w:rsidR="00C26FFC" w:rsidRDefault="00C26FFC" w:rsidP="007B458A"/>
    <w:p w14:paraId="739300FB" w14:textId="77777777" w:rsidR="0071532A" w:rsidRDefault="00F65A50" w:rsidP="0071532A">
      <w:r w:rsidRPr="00F65A50">
        <w:t xml:space="preserve">Que, les parties se défendent elles-mêmes ou ont la faculté de se faire assister ou représenter par </w:t>
      </w:r>
      <w:r>
        <w:t>un avocat</w:t>
      </w:r>
      <w:r w:rsidRPr="00F65A50">
        <w:t>.</w:t>
      </w:r>
    </w:p>
    <w:p w14:paraId="6999955E" w14:textId="77777777" w:rsidR="00F65A50" w:rsidRDefault="00F65A50" w:rsidP="0071532A"/>
    <w:p w14:paraId="44041E7A" w14:textId="77777777" w:rsidR="001B754C" w:rsidRDefault="001B754C" w:rsidP="001B754C">
      <w:r>
        <w:t>Qu’à défaut de comparaître à cette audience ou à toute autre à laquelle l’examen de cette affaire serait renvoyé, il s’expose à ce qu’un jugement soit rendu contre lui sur les seuls éléments fournis par son adversaire.</w:t>
      </w:r>
    </w:p>
    <w:p w14:paraId="6D11F44D" w14:textId="77777777" w:rsidR="0071532A" w:rsidRDefault="0071532A" w:rsidP="0071532A"/>
    <w:p w14:paraId="64D620D6" w14:textId="77777777" w:rsidR="0071532A" w:rsidRDefault="0071532A" w:rsidP="0071532A">
      <w:r>
        <w:t xml:space="preserve">Les pièces sur lesquelles la demande est fondée sont </w:t>
      </w:r>
      <w:r w:rsidR="00EA7E30">
        <w:t>visées</w:t>
      </w:r>
      <w:r>
        <w:t xml:space="preserve"> et jointes en fin d’acte selon bordereau.</w:t>
      </w:r>
    </w:p>
    <w:p w14:paraId="05B69D1E" w14:textId="77777777" w:rsidR="00C26FFC" w:rsidRDefault="00C26FFC" w:rsidP="007B458A"/>
    <w:p w14:paraId="49B6468A" w14:textId="77777777" w:rsidR="00C26FFC" w:rsidRDefault="00C26FFC" w:rsidP="007B458A"/>
    <w:p w14:paraId="70BCF04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jc w:val="center"/>
        <w:rPr>
          <w:b/>
          <w:u w:val="single"/>
        </w:rPr>
      </w:pPr>
      <w:r>
        <w:rPr>
          <w:b/>
          <w:u w:val="single"/>
        </w:rPr>
        <w:t>TR</w:t>
      </w:r>
      <w:r w:rsidR="00067AD4">
        <w:rPr>
          <w:b/>
          <w:u w:val="single"/>
        </w:rPr>
        <w:t>È</w:t>
      </w:r>
      <w:r>
        <w:rPr>
          <w:b/>
          <w:u w:val="single"/>
        </w:rPr>
        <w:t>S IMPORTANT</w:t>
      </w:r>
    </w:p>
    <w:p w14:paraId="1B5AACF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0AA12D7" w14:textId="77777777" w:rsidR="00C26FFC" w:rsidRDefault="0071532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761FB2">
        <w:rPr>
          <w:sz w:val="22"/>
          <w:szCs w:val="22"/>
          <w:u w:val="single"/>
        </w:rPr>
        <w:t xml:space="preserve">Il est, par ailleurs, rappelé au défendeur les articles </w:t>
      </w:r>
      <w:r w:rsidR="00F92DB5" w:rsidRPr="00761FB2">
        <w:rPr>
          <w:sz w:val="22"/>
          <w:szCs w:val="22"/>
          <w:u w:val="single"/>
        </w:rPr>
        <w:t>du Code de procédure civile reproduits ci-après</w:t>
      </w:r>
      <w:r>
        <w:rPr>
          <w:sz w:val="22"/>
          <w:szCs w:val="22"/>
        </w:rPr>
        <w:t> :</w:t>
      </w:r>
    </w:p>
    <w:p w14:paraId="17A181CC"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9FD31B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640</w:t>
      </w:r>
    </w:p>
    <w:p w14:paraId="7169578A"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1503CB5"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acte ou une formalité doit être accompli avant l'expiration d'un délai, celui-ci a pour origine la date de l'acte, de l'événement, de la décision ou de la notification qui le fait courir.</w:t>
      </w:r>
    </w:p>
    <w:p w14:paraId="2E35DFD2"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63D83CB3"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lastRenderedPageBreak/>
        <w:t>Article 641</w:t>
      </w:r>
    </w:p>
    <w:p w14:paraId="799D8ED1"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C7CE86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jours, celui de l'acte, de l'événement, de la décision ou de la notification qui le fait courir ne compte pas.</w:t>
      </w:r>
    </w:p>
    <w:p w14:paraId="4EED8B38"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0A02B33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w:t>
      </w:r>
    </w:p>
    <w:p w14:paraId="24A236F3"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7E22C65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et en jours, les mois sont d'abord décomptés, puis les jours.</w:t>
      </w:r>
    </w:p>
    <w:p w14:paraId="171EFA8E"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A7EC712"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w:t>
      </w:r>
    </w:p>
    <w:p w14:paraId="0CA7BAD5"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9B74730"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Tout délai expire le dernier jour à vingt-quatre heures.</w:t>
      </w:r>
    </w:p>
    <w:p w14:paraId="2732ACB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5E17DB3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 délai qui expirerait normalement un samedi, un dimanche ou un jour férié ou chômé est prorogé jusqu'au premier jour ouvrable suivant.</w:t>
      </w:r>
    </w:p>
    <w:p w14:paraId="5442A44D"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BA60274"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642-1</w:t>
      </w:r>
    </w:p>
    <w:p w14:paraId="4AB8E5DF"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32576BA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Les dispositions des articles 640 à 642 sont également applicables aux délais dans lesquels les inscriptions et autres formalités de publicité doivent être opérées.</w:t>
      </w:r>
    </w:p>
    <w:p w14:paraId="5ECA0F74"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8BFC5E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643</w:t>
      </w:r>
    </w:p>
    <w:p w14:paraId="40183D48"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CF3D17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Lorsque la demande est portée devant une juridiction qui a son siège en France métropolitaine, les délais de comparution, d'appel, d'opposition, de tierce opposition dans l'hypothèse prévue à l'article 586 alinéa 3, de recours en révision et de pourvoi en cassation sont augmentés de :</w:t>
      </w:r>
    </w:p>
    <w:p w14:paraId="30B89C8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355A95A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1. Un mois pour les personnes qui demeurent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6F2D007C"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2C7891CE" w14:textId="77777777" w:rsidR="0071532A"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2. Deux mois pour celles qui demeurent à l'étranger.</w:t>
      </w:r>
    </w:p>
    <w:p w14:paraId="287E4FF3"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0CDD507" w14:textId="77777777" w:rsidR="004731E2" w:rsidRDefault="004731E2" w:rsidP="007B458A">
      <w:r>
        <w:br w:type="page"/>
      </w:r>
    </w:p>
    <w:p w14:paraId="4372266A" w14:textId="77777777"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lastRenderedPageBreak/>
        <w:t xml:space="preserve">PLAISE AU </w:t>
      </w:r>
      <w:r w:rsidR="006A3B51">
        <w:rPr>
          <w:u w:val="none"/>
        </w:rPr>
        <w:t>PRÉSIDENT</w:t>
      </w:r>
    </w:p>
    <w:p w14:paraId="0D38852E" w14:textId="77777777" w:rsidR="007B458A" w:rsidRDefault="007B458A" w:rsidP="007B458A">
      <w:pPr>
        <w:rPr>
          <w:highlight w:val="yellow"/>
        </w:rPr>
      </w:pPr>
    </w:p>
    <w:p w14:paraId="4C59F2ED" w14:textId="77777777" w:rsidR="006514E3" w:rsidRDefault="006514E3" w:rsidP="006514E3">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31C9574C" w14:textId="77777777" w:rsidR="006514E3" w:rsidRDefault="006514E3" w:rsidP="006514E3"/>
    <w:p w14:paraId="1426D95A" w14:textId="77777777" w:rsidR="006514E3" w:rsidRDefault="006514E3" w:rsidP="006514E3">
      <w:r>
        <w:t xml:space="preserve">Toutefois, cette tentative de règlement amiable n’a pas abouti pour les raisons suivantes : </w:t>
      </w:r>
      <w:r>
        <w:rPr>
          <w:i/>
        </w:rPr>
        <w:t>[préciser les raisons de l’échec]</w:t>
      </w:r>
    </w:p>
    <w:p w14:paraId="316D03E6" w14:textId="77777777" w:rsidR="006514E3" w:rsidRDefault="006514E3" w:rsidP="007B458A">
      <w:pPr>
        <w:rPr>
          <w:highlight w:val="yellow"/>
        </w:rPr>
      </w:pPr>
    </w:p>
    <w:p w14:paraId="3E3B5CDB"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06661049" w14:textId="77777777" w:rsidR="004731E2" w:rsidRDefault="004731E2" w:rsidP="007B458A"/>
    <w:p w14:paraId="148B6204" w14:textId="77777777"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faits de façon synthétique et objective, tel qu’ils pourraient être énoncés dans le jugement à intervenir</w:t>
      </w:r>
    </w:p>
    <w:p w14:paraId="423BEE59" w14:textId="77777777" w:rsidR="00067AD4" w:rsidRDefault="00067AD4" w:rsidP="00067AD4"/>
    <w:p w14:paraId="10339D55"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272786EB" w14:textId="77777777" w:rsidR="0001715E" w:rsidRDefault="0001715E" w:rsidP="007B458A"/>
    <w:p w14:paraId="326FB253" w14:textId="77777777" w:rsidR="0001715E" w:rsidRDefault="0001715E" w:rsidP="007B458A"/>
    <w:p w14:paraId="0218E28A" w14:textId="77777777" w:rsidR="004731E2" w:rsidRPr="004731E2" w:rsidRDefault="004731E2" w:rsidP="004731E2">
      <w:pPr>
        <w:numPr>
          <w:ilvl w:val="0"/>
          <w:numId w:val="2"/>
        </w:numPr>
        <w:rPr>
          <w:b/>
          <w:u w:val="single"/>
        </w:rPr>
      </w:pPr>
      <w:r w:rsidRPr="004731E2">
        <w:rPr>
          <w:b/>
          <w:u w:val="single"/>
        </w:rPr>
        <w:t>DISCUSSION</w:t>
      </w:r>
    </w:p>
    <w:p w14:paraId="0FB76715" w14:textId="77777777" w:rsidR="0001143C" w:rsidRDefault="0001143C" w:rsidP="007B458A"/>
    <w:p w14:paraId="09FA44C9" w14:textId="58C0AEB7" w:rsidR="00B8687C" w:rsidRPr="004A2A62" w:rsidRDefault="004A2A62" w:rsidP="004A2A62">
      <w:pPr>
        <w:pStyle w:val="Paragraphedeliste"/>
        <w:numPr>
          <w:ilvl w:val="0"/>
          <w:numId w:val="14"/>
        </w:numPr>
        <w:rPr>
          <w:b/>
          <w:u w:val="single"/>
        </w:rPr>
      </w:pPr>
      <w:r w:rsidRPr="004A2A62">
        <w:rPr>
          <w:b/>
          <w:u w:val="single"/>
        </w:rPr>
        <w:t xml:space="preserve">Sur </w:t>
      </w:r>
      <w:r w:rsidR="00D62FA3">
        <w:rPr>
          <w:b/>
          <w:u w:val="single"/>
        </w:rPr>
        <w:t>l</w:t>
      </w:r>
      <w:r w:rsidR="00CF1898">
        <w:rPr>
          <w:b/>
          <w:u w:val="single"/>
        </w:rPr>
        <w:t xml:space="preserve">a mesure </w:t>
      </w:r>
      <w:r w:rsidR="00547AF5">
        <w:rPr>
          <w:b/>
          <w:u w:val="single"/>
        </w:rPr>
        <w:t>de remise en état</w:t>
      </w:r>
      <w:r w:rsidR="00CF1898">
        <w:rPr>
          <w:b/>
          <w:u w:val="single"/>
        </w:rPr>
        <w:t xml:space="preserve"> consistant à </w:t>
      </w:r>
      <w:r w:rsidR="00CF1898" w:rsidRPr="00CF1898">
        <w:rPr>
          <w:b/>
          <w:i/>
          <w:iCs/>
          <w:u w:val="single"/>
        </w:rPr>
        <w:t>[préciser la mesure à adopter]</w:t>
      </w:r>
    </w:p>
    <w:p w14:paraId="612D8751" w14:textId="77777777" w:rsidR="004A2A62" w:rsidRDefault="004A2A62" w:rsidP="0001143C"/>
    <w:p w14:paraId="2AAD2663" w14:textId="77777777" w:rsidR="004A2A62" w:rsidRPr="00D81F0D" w:rsidRDefault="004A2A62" w:rsidP="00D81F0D">
      <w:pPr>
        <w:pStyle w:val="Paragraphedeliste"/>
        <w:numPr>
          <w:ilvl w:val="0"/>
          <w:numId w:val="19"/>
        </w:numPr>
        <w:rPr>
          <w:b/>
          <w:u w:val="single"/>
        </w:rPr>
      </w:pPr>
      <w:r w:rsidRPr="00D81F0D">
        <w:rPr>
          <w:b/>
          <w:u w:val="single"/>
        </w:rPr>
        <w:t>En droit</w:t>
      </w:r>
    </w:p>
    <w:p w14:paraId="4FA67663" w14:textId="77777777" w:rsidR="00D62FA3" w:rsidRDefault="00D62FA3" w:rsidP="00D62FA3"/>
    <w:p w14:paraId="27E5A0C9" w14:textId="77777777" w:rsidR="00CF1898" w:rsidRDefault="00CF1898" w:rsidP="00CF1898">
      <w:r w:rsidRPr="00CA3F03">
        <w:rPr>
          <w:u w:val="single"/>
        </w:rPr>
        <w:t>L’article 809, al. 1</w:t>
      </w:r>
      <w:r w:rsidRPr="00CA3F03">
        <w:rPr>
          <w:u w:val="single"/>
          <w:vertAlign w:val="superscript"/>
        </w:rPr>
        <w:t>er</w:t>
      </w:r>
      <w:r>
        <w:t xml:space="preserve"> du CPC dispose que « </w:t>
      </w:r>
      <w:r w:rsidRPr="00CA3F03">
        <w:rPr>
          <w:i/>
        </w:rPr>
        <w:t>le président peut toujours, même en présence d'une contestation sérieuse, prescrire en référé les mesures conservatoires ou de remise en état qui s'imposent, soit pour prévenir un dommage imminent, soit pour faire cesser un trouble manifestement illicite.</w:t>
      </w:r>
      <w:r>
        <w:t> »</w:t>
      </w:r>
    </w:p>
    <w:p w14:paraId="2F5606F4" w14:textId="77777777" w:rsidR="00CF1898" w:rsidRDefault="00CF1898" w:rsidP="00CF1898"/>
    <w:p w14:paraId="12558081" w14:textId="77777777" w:rsidR="00CF1898" w:rsidRDefault="00CF1898" w:rsidP="00CF1898">
      <w:r>
        <w:t>Il ressort de cette disposition que lorsqu’il s’agit de prévenir un dommage imminent ou de faire cesser un trouble illicite, le Juge des référés dispose du pouvoir de prononcer deux sortes de mesures :</w:t>
      </w:r>
    </w:p>
    <w:p w14:paraId="752FA1BD" w14:textId="77777777" w:rsidR="00CF1898" w:rsidRDefault="00CF1898" w:rsidP="00CF1898"/>
    <w:p w14:paraId="3F5CB770" w14:textId="77777777" w:rsidR="00CF1898" w:rsidRDefault="00CF1898" w:rsidP="00CF1898">
      <w:pPr>
        <w:pStyle w:val="Paragraphedeliste"/>
        <w:numPr>
          <w:ilvl w:val="0"/>
          <w:numId w:val="20"/>
        </w:numPr>
        <w:jc w:val="both"/>
      </w:pPr>
      <w:r>
        <w:t>Des mesures conservatoires</w:t>
      </w:r>
    </w:p>
    <w:p w14:paraId="62F60D31" w14:textId="77777777" w:rsidR="00CF1898" w:rsidRDefault="00CF1898" w:rsidP="00CF1898">
      <w:pPr>
        <w:pStyle w:val="Paragraphedeliste"/>
        <w:numPr>
          <w:ilvl w:val="0"/>
          <w:numId w:val="20"/>
        </w:numPr>
        <w:jc w:val="both"/>
      </w:pPr>
      <w:r>
        <w:t>Des remises en état</w:t>
      </w:r>
    </w:p>
    <w:p w14:paraId="1464F1E9" w14:textId="77777777" w:rsidR="00CF1898" w:rsidRDefault="00CF1898" w:rsidP="00CF1898"/>
    <w:p w14:paraId="7FA13AB4" w14:textId="77777777" w:rsidR="00CF1898" w:rsidRDefault="00CF1898" w:rsidP="00CF1898">
      <w:r>
        <w:t>La question qui rapidement s’est posée a été de savoir si ces mesures pouvaient indifféremment être prononcées lorsqu’est établi, soit la survenance d’un dommage imminent, soit l’existence d’un trouble manifestement illicite.</w:t>
      </w:r>
    </w:p>
    <w:p w14:paraId="6755FB08" w14:textId="77777777" w:rsidR="00CF1898" w:rsidRDefault="00CF1898" w:rsidP="00CF1898"/>
    <w:p w14:paraId="688C549F" w14:textId="77777777" w:rsidR="00CF1898" w:rsidRDefault="00CF1898" w:rsidP="00CF1898">
      <w:r>
        <w:t>À l’examen, il apparaît que l’adoption d’une mesure de remise en état ne saurait, par définition, être prononcée pour prévenir un dommage imminent. Cette mesure ne se conçoit que si le dommage s’est déjà réalisé. Or s’il est imminent, cela signifie qu’il n’a pas encore eu lieu.</w:t>
      </w:r>
    </w:p>
    <w:p w14:paraId="6A97351F" w14:textId="77777777" w:rsidR="00CF1898" w:rsidRDefault="00CF1898" w:rsidP="00CF1898"/>
    <w:p w14:paraId="45DDCC8A" w14:textId="77777777" w:rsidR="00CF1898" w:rsidRDefault="00CF1898" w:rsidP="00CF1898">
      <w:r>
        <w:t>De ce constat, on peut en déduire que :</w:t>
      </w:r>
    </w:p>
    <w:p w14:paraId="68FCA1A6" w14:textId="77777777" w:rsidR="00CF1898" w:rsidRDefault="00CF1898" w:rsidP="00CF1898"/>
    <w:p w14:paraId="3ED23D23" w14:textId="77777777" w:rsidR="00CF1898" w:rsidRDefault="00CF1898" w:rsidP="00CF1898">
      <w:pPr>
        <w:pStyle w:val="Paragraphedeliste"/>
        <w:numPr>
          <w:ilvl w:val="0"/>
          <w:numId w:val="20"/>
        </w:numPr>
        <w:jc w:val="both"/>
      </w:pPr>
      <w:r w:rsidRPr="00E421F7">
        <w:rPr>
          <w:b/>
          <w:i/>
        </w:rPr>
        <w:lastRenderedPageBreak/>
        <w:t>D’une part</w:t>
      </w:r>
      <w:r>
        <w:t>, l’adoption d’une mesure de remise en état ne sera prononcée que pour faire cesser un trouble manifestement illicite</w:t>
      </w:r>
    </w:p>
    <w:p w14:paraId="22804DC5" w14:textId="77777777" w:rsidR="00CF1898" w:rsidRDefault="00CF1898" w:rsidP="00CF1898"/>
    <w:p w14:paraId="2F34412E" w14:textId="77777777" w:rsidR="00CF1898" w:rsidRDefault="00CF1898" w:rsidP="00CF1898">
      <w:pPr>
        <w:pStyle w:val="Paragraphedeliste"/>
        <w:numPr>
          <w:ilvl w:val="0"/>
          <w:numId w:val="20"/>
        </w:numPr>
        <w:jc w:val="both"/>
      </w:pPr>
      <w:r w:rsidRPr="00E421F7">
        <w:rPr>
          <w:b/>
          <w:i/>
        </w:rPr>
        <w:t>D’autre part</w:t>
      </w:r>
      <w:r>
        <w:t>, la prescription d’une mesure conservatoire ne se justifiera que dans l’hypothèse où il est nécessaire de prévenir un dommage imminent</w:t>
      </w:r>
    </w:p>
    <w:p w14:paraId="02B5478C" w14:textId="77777777" w:rsidR="00CF1898" w:rsidRDefault="00CF1898" w:rsidP="00CF1898"/>
    <w:p w14:paraId="7F86846C" w14:textId="77777777" w:rsidR="00CF1898" w:rsidRDefault="00CF1898" w:rsidP="00CF1898">
      <w:r>
        <w:t xml:space="preserve">En toute hypothèse, comme prévu par </w:t>
      </w:r>
      <w:r w:rsidRPr="00680BCE">
        <w:rPr>
          <w:u w:val="single"/>
        </w:rPr>
        <w:t>l’article 809, al. 1</w:t>
      </w:r>
      <w:r w:rsidRPr="00680BCE">
        <w:rPr>
          <w:u w:val="single"/>
          <w:vertAlign w:val="superscript"/>
        </w:rPr>
        <w:t>er</w:t>
      </w:r>
      <w:r>
        <w:t xml:space="preserve"> du CPC, il est indifférent qu’existe une contestation sérieuse. </w:t>
      </w:r>
    </w:p>
    <w:p w14:paraId="669316C6" w14:textId="77777777" w:rsidR="00CF1898" w:rsidRDefault="00CF1898" w:rsidP="00CF1898"/>
    <w:p w14:paraId="33DD9E4B" w14:textId="77777777" w:rsidR="00CF1898" w:rsidRDefault="00CF1898" w:rsidP="00CF1898">
      <w:r>
        <w:t xml:space="preserve">Lorsque le juge est saisi sur le fondement de cette disposition, l’établissement d’une telle contestation sera sans incidence sur le pouvoir du Juge de prononcer une mesure conservatoire ou une mesure de remise en état. </w:t>
      </w:r>
    </w:p>
    <w:p w14:paraId="4F589E3A" w14:textId="77777777" w:rsidR="00CF1898" w:rsidRDefault="00CF1898" w:rsidP="00CF1898"/>
    <w:p w14:paraId="5F3AF181" w14:textId="6D491969" w:rsidR="00A55A7A" w:rsidRDefault="00A55A7A" w:rsidP="00A55A7A">
      <w:r>
        <w:t xml:space="preserve">Pour solliciter du Juge des référés l’adoption d’une mesure de remise en état, le demandeur doit donc justifier la nécessité de faire cesser un trouble manifestement illicite. </w:t>
      </w:r>
    </w:p>
    <w:p w14:paraId="734FD879" w14:textId="77777777" w:rsidR="00A55A7A" w:rsidRDefault="00A55A7A" w:rsidP="00A55A7A"/>
    <w:p w14:paraId="59308866" w14:textId="77777777" w:rsidR="00A55A7A" w:rsidRDefault="00A55A7A" w:rsidP="00A55A7A">
      <w:r>
        <w:t>Dans un arrêt du 22 mars 1983, la Cour de cassation a précisé que, dans cette hypothèse, il n’était pas nécessaire de démontrer l’urgence à l’instar d’une demande de référé (</w:t>
      </w:r>
      <w:r w:rsidRPr="00E21468">
        <w:rPr>
          <w:i/>
          <w:u w:val="single"/>
        </w:rPr>
        <w:t>Cass. 3</w:t>
      </w:r>
      <w:r w:rsidRPr="00E21468">
        <w:rPr>
          <w:i/>
          <w:u w:val="single"/>
          <w:vertAlign w:val="superscript"/>
        </w:rPr>
        <w:t>e</w:t>
      </w:r>
      <w:r w:rsidRPr="00E21468">
        <w:rPr>
          <w:i/>
          <w:u w:val="single"/>
        </w:rPr>
        <w:t xml:space="preserve"> civ. 22 mars 1983</w:t>
      </w:r>
      <w:r>
        <w:t xml:space="preserve">). </w:t>
      </w:r>
    </w:p>
    <w:p w14:paraId="35EDA75E" w14:textId="77777777" w:rsidR="00A55A7A" w:rsidRDefault="00A55A7A" w:rsidP="00A55A7A"/>
    <w:p w14:paraId="793A93B7" w14:textId="77777777" w:rsidR="00A55A7A" w:rsidRDefault="00A55A7A" w:rsidP="00A55A7A">
      <w:r>
        <w:t>Cette décision a été confirmée à plusieurs reprises par la Cour de cassation, notamment dans un arrêt du 5 mai 2011 (</w:t>
      </w:r>
      <w:r w:rsidRPr="00E21468">
        <w:rPr>
          <w:i/>
          <w:u w:val="single"/>
        </w:rPr>
        <w:t>Cass. 2</w:t>
      </w:r>
      <w:r w:rsidRPr="00E21468">
        <w:rPr>
          <w:i/>
          <w:u w:val="single"/>
          <w:vertAlign w:val="superscript"/>
        </w:rPr>
        <w:t>e</w:t>
      </w:r>
      <w:r w:rsidRPr="00E21468">
        <w:rPr>
          <w:i/>
          <w:u w:val="single"/>
        </w:rPr>
        <w:t xml:space="preserve"> civ., 5 mai 2011, n°10-19231</w:t>
      </w:r>
      <w:r>
        <w:t>).</w:t>
      </w:r>
    </w:p>
    <w:p w14:paraId="5741DA20" w14:textId="77777777" w:rsidR="00A55A7A" w:rsidRDefault="00A55A7A" w:rsidP="00A55A7A"/>
    <w:p w14:paraId="1459E734" w14:textId="77777777" w:rsidR="00A55A7A" w:rsidRPr="0091176B" w:rsidRDefault="00A55A7A" w:rsidP="00A55A7A">
      <w:pPr>
        <w:rPr>
          <w:b/>
          <w:u w:val="single"/>
        </w:rPr>
      </w:pPr>
      <w:r>
        <w:sym w:font="Wingdings" w:char="F0E8"/>
      </w:r>
      <w:r w:rsidRPr="0091176B">
        <w:rPr>
          <w:b/>
          <w:u w:val="single"/>
        </w:rPr>
        <w:t>Sur le trouble manifestement illicite</w:t>
      </w:r>
    </w:p>
    <w:p w14:paraId="580766BE" w14:textId="77777777" w:rsidR="00A55A7A" w:rsidRDefault="00A55A7A" w:rsidP="00A55A7A"/>
    <w:p w14:paraId="2EFD7159" w14:textId="77777777" w:rsidR="00A55A7A" w:rsidRDefault="00A55A7A" w:rsidP="00A55A7A">
      <w:r>
        <w:t>Le trouble manifestement illicite s’entend, selon un auteur, de « </w:t>
      </w:r>
      <w:r w:rsidRPr="00E21468">
        <w:rPr>
          <w:i/>
        </w:rPr>
        <w:t>toute perturbation résultant d'un fait qui directement ou indirectement constitue une violation évidente de la règle de droit</w:t>
      </w:r>
      <w:r>
        <w:t xml:space="preserve"> ». </w:t>
      </w:r>
    </w:p>
    <w:p w14:paraId="4BF23381" w14:textId="77777777" w:rsidR="00A55A7A" w:rsidRDefault="00A55A7A" w:rsidP="00A55A7A"/>
    <w:p w14:paraId="25AEC357" w14:textId="77777777" w:rsidR="00A55A7A" w:rsidRDefault="00A55A7A" w:rsidP="00A55A7A">
      <w:r>
        <w:t xml:space="preserve">Il ressort de la jurisprudence que ce trouble peut résulter de la méconnaissance d’un droit ou d’une règle (V. en ce sens </w:t>
      </w:r>
      <w:r w:rsidRPr="00E21468">
        <w:rPr>
          <w:i/>
          <w:u w:val="single"/>
        </w:rPr>
        <w:t>Cass. 1</w:t>
      </w:r>
      <w:r w:rsidRPr="00E21468">
        <w:rPr>
          <w:i/>
          <w:u w:val="single"/>
          <w:vertAlign w:val="superscript"/>
        </w:rPr>
        <w:t>ère</w:t>
      </w:r>
      <w:r w:rsidRPr="00E21468">
        <w:rPr>
          <w:i/>
          <w:u w:val="single"/>
        </w:rPr>
        <w:t xml:space="preserve"> civ., 17 mars 2016, n° 15-14072</w:t>
      </w:r>
      <w:r>
        <w:t>).</w:t>
      </w:r>
    </w:p>
    <w:p w14:paraId="3C88B487" w14:textId="77777777" w:rsidR="00A55A7A" w:rsidRDefault="00A55A7A" w:rsidP="00A55A7A"/>
    <w:p w14:paraId="6382634D" w14:textId="77777777" w:rsidR="00A55A7A" w:rsidRDefault="00A55A7A" w:rsidP="00A55A7A">
      <w:r>
        <w:t xml:space="preserve">Il importe peu que la règle violée soit d’origine légale ou contractuelle. Il est également indifférent que la norme méconnue soit de nature civile ou pénale. </w:t>
      </w:r>
    </w:p>
    <w:p w14:paraId="1C286D06" w14:textId="77777777" w:rsidR="00A55A7A" w:rsidRDefault="00A55A7A" w:rsidP="00A55A7A"/>
    <w:p w14:paraId="55EB2FCF" w14:textId="77777777" w:rsidR="00A55A7A" w:rsidRDefault="00A55A7A" w:rsidP="00A55A7A">
      <w:r>
        <w:t>À cet égard, constitue un trouble manifestement illicite :</w:t>
      </w:r>
    </w:p>
    <w:p w14:paraId="3A95ED9E" w14:textId="77777777" w:rsidR="00A55A7A" w:rsidRDefault="00A55A7A" w:rsidP="00A55A7A"/>
    <w:p w14:paraId="24C9A2F0" w14:textId="77777777" w:rsidR="00A55A7A" w:rsidRDefault="00A55A7A" w:rsidP="00A55A7A">
      <w:pPr>
        <w:pStyle w:val="Paragraphedeliste"/>
        <w:numPr>
          <w:ilvl w:val="0"/>
          <w:numId w:val="20"/>
        </w:numPr>
        <w:jc w:val="both"/>
      </w:pPr>
      <w:r>
        <w:t>Une atteinte à la vie privée (</w:t>
      </w:r>
      <w:r w:rsidRPr="001D2A05">
        <w:rPr>
          <w:i/>
          <w:u w:val="single"/>
        </w:rPr>
        <w:t>Cass. 1</w:t>
      </w:r>
      <w:r w:rsidRPr="001D2A05">
        <w:rPr>
          <w:i/>
          <w:u w:val="single"/>
          <w:vertAlign w:val="superscript"/>
        </w:rPr>
        <w:t>ère</w:t>
      </w:r>
      <w:r w:rsidRPr="001D2A05">
        <w:rPr>
          <w:i/>
          <w:u w:val="single"/>
        </w:rPr>
        <w:t xml:space="preserve"> civ., 17 mars 2016, n° 15-14072</w:t>
      </w:r>
    </w:p>
    <w:p w14:paraId="667C912D" w14:textId="77777777" w:rsidR="00A55A7A" w:rsidRDefault="00A55A7A" w:rsidP="00A55A7A">
      <w:pPr>
        <w:pStyle w:val="Paragraphedeliste"/>
        <w:numPr>
          <w:ilvl w:val="0"/>
          <w:numId w:val="20"/>
        </w:numPr>
        <w:jc w:val="both"/>
      </w:pPr>
      <w:r>
        <w:t>L</w:t>
      </w:r>
      <w:r w:rsidRPr="001D2A05">
        <w:t>e refus d'un associé de voter une modification de l'objet statutaire de la société l'empêchant de fonctionner conformément à son objet réel (</w:t>
      </w:r>
      <w:r w:rsidRPr="001D2A05">
        <w:rPr>
          <w:i/>
          <w:u w:val="single"/>
        </w:rPr>
        <w:t>Cass. com., 4 févr. 2014, n° 12-29348</w:t>
      </w:r>
      <w:r>
        <w:t>)</w:t>
      </w:r>
    </w:p>
    <w:p w14:paraId="53DA49D5" w14:textId="77777777" w:rsidR="00A55A7A" w:rsidRDefault="00A55A7A" w:rsidP="00A55A7A">
      <w:pPr>
        <w:pStyle w:val="Paragraphedeliste"/>
        <w:numPr>
          <w:ilvl w:val="0"/>
          <w:numId w:val="20"/>
        </w:numPr>
        <w:jc w:val="both"/>
      </w:pPr>
      <w:r>
        <w:t>L</w:t>
      </w:r>
      <w:r w:rsidRPr="001D2A05">
        <w:t>a coupure unilatérale de l'alimentation en eau d'une maison destinée à l'habitation</w:t>
      </w:r>
      <w:r>
        <w:t xml:space="preserve"> (</w:t>
      </w:r>
      <w:r w:rsidRPr="001D2A05">
        <w:rPr>
          <w:i/>
          <w:u w:val="single"/>
        </w:rPr>
        <w:t>Cass. 3</w:t>
      </w:r>
      <w:r w:rsidRPr="001D2A05">
        <w:rPr>
          <w:i/>
          <w:u w:val="single"/>
          <w:vertAlign w:val="superscript"/>
        </w:rPr>
        <w:t>e</w:t>
      </w:r>
      <w:r w:rsidRPr="001D2A05">
        <w:rPr>
          <w:i/>
          <w:u w:val="single"/>
        </w:rPr>
        <w:t xml:space="preserve"> civ. 23 juin 2016, n°15-20338</w:t>
      </w:r>
      <w:r>
        <w:t>)</w:t>
      </w:r>
    </w:p>
    <w:p w14:paraId="784F4C17" w14:textId="77777777" w:rsidR="00A55A7A" w:rsidRDefault="00A55A7A" w:rsidP="00A55A7A">
      <w:pPr>
        <w:pStyle w:val="Paragraphedeliste"/>
        <w:numPr>
          <w:ilvl w:val="0"/>
          <w:numId w:val="20"/>
        </w:numPr>
        <w:jc w:val="both"/>
      </w:pPr>
      <w:r>
        <w:t>L</w:t>
      </w:r>
      <w:r w:rsidRPr="001D2A05">
        <w:t xml:space="preserve">e stationnement, sur l'assiette d'un chemin de servitude, d'un véhicule faisant obstacle au passage </w:t>
      </w:r>
      <w:r>
        <w:t>(</w:t>
      </w:r>
      <w:r w:rsidRPr="001D2A05">
        <w:rPr>
          <w:i/>
          <w:u w:val="single"/>
        </w:rPr>
        <w:t>Cass. 3</w:t>
      </w:r>
      <w:r w:rsidRPr="001D2A05">
        <w:rPr>
          <w:i/>
          <w:u w:val="single"/>
          <w:vertAlign w:val="superscript"/>
        </w:rPr>
        <w:t>e</w:t>
      </w:r>
      <w:r w:rsidRPr="001D2A05">
        <w:rPr>
          <w:i/>
          <w:u w:val="single"/>
        </w:rPr>
        <w:t xml:space="preserve"> civ. 21 déc. 2017, n°16-25430</w:t>
      </w:r>
      <w:r>
        <w:t>)</w:t>
      </w:r>
    </w:p>
    <w:p w14:paraId="1526F4C9" w14:textId="77777777" w:rsidR="00A55A7A" w:rsidRDefault="00A55A7A" w:rsidP="00A55A7A">
      <w:pPr>
        <w:pStyle w:val="Paragraphedeliste"/>
        <w:numPr>
          <w:ilvl w:val="0"/>
          <w:numId w:val="20"/>
        </w:numPr>
        <w:jc w:val="both"/>
      </w:pPr>
      <w:r>
        <w:t>L</w:t>
      </w:r>
      <w:r w:rsidRPr="001D2A05">
        <w:t>’occupation sans droit ni titre du bien d’autrui</w:t>
      </w:r>
      <w:r>
        <w:t xml:space="preserve"> (</w:t>
      </w:r>
      <w:r w:rsidRPr="001D2A05">
        <w:rPr>
          <w:i/>
          <w:u w:val="single"/>
        </w:rPr>
        <w:t>Cass. 3</w:t>
      </w:r>
      <w:r w:rsidRPr="001D2A05">
        <w:rPr>
          <w:i/>
          <w:u w:val="single"/>
          <w:vertAlign w:val="superscript"/>
        </w:rPr>
        <w:t>e</w:t>
      </w:r>
      <w:r w:rsidRPr="001D2A05">
        <w:rPr>
          <w:i/>
          <w:u w:val="single"/>
        </w:rPr>
        <w:t xml:space="preserve"> civ. 21 déc. 2017, n°16-25470</w:t>
      </w:r>
      <w:r>
        <w:t>)</w:t>
      </w:r>
    </w:p>
    <w:p w14:paraId="12898230" w14:textId="77777777" w:rsidR="00A55A7A" w:rsidRDefault="00A55A7A" w:rsidP="00A55A7A">
      <w:pPr>
        <w:pStyle w:val="Paragraphedeliste"/>
        <w:numPr>
          <w:ilvl w:val="0"/>
          <w:numId w:val="20"/>
        </w:numPr>
        <w:jc w:val="both"/>
      </w:pPr>
      <w:r>
        <w:t>L</w:t>
      </w:r>
      <w:r w:rsidRPr="001D2A05">
        <w:t>es circonstances de rupture d’une relation commerciale établie</w:t>
      </w:r>
      <w:r>
        <w:t xml:space="preserve"> (</w:t>
      </w:r>
      <w:r w:rsidRPr="001018EE">
        <w:rPr>
          <w:i/>
          <w:u w:val="single"/>
        </w:rPr>
        <w:t>Cass. com. 10 nov. 2009, n°08-18337</w:t>
      </w:r>
      <w:r>
        <w:t>)</w:t>
      </w:r>
    </w:p>
    <w:p w14:paraId="405423A2" w14:textId="77777777" w:rsidR="00A55A7A" w:rsidRDefault="00A55A7A" w:rsidP="00A55A7A">
      <w:pPr>
        <w:pStyle w:val="Paragraphedeliste"/>
        <w:numPr>
          <w:ilvl w:val="0"/>
          <w:numId w:val="20"/>
        </w:numPr>
        <w:jc w:val="both"/>
      </w:pPr>
      <w:r w:rsidRPr="001D2A05">
        <w:lastRenderedPageBreak/>
        <w:t>la diffusion d'informations relatives à une procédure de prévention des difficultés des entreprises, couvertes par la confidentialité, sans qu'il soit établi qu'elles contribuent à l'information légitime du public sur un débat d'intérêt général</w:t>
      </w:r>
      <w:r>
        <w:t xml:space="preserve"> (</w:t>
      </w:r>
      <w:r w:rsidRPr="001D2A05">
        <w:rPr>
          <w:i/>
          <w:u w:val="single"/>
        </w:rPr>
        <w:t>Cass. com., 15 déc. 2015, n°14-11500</w:t>
      </w:r>
      <w:r>
        <w:t>)</w:t>
      </w:r>
    </w:p>
    <w:p w14:paraId="76E7E087" w14:textId="77777777" w:rsidR="00A55A7A" w:rsidRDefault="00A55A7A" w:rsidP="00A55A7A">
      <w:pPr>
        <w:pStyle w:val="Paragraphedeliste"/>
        <w:numPr>
          <w:ilvl w:val="0"/>
          <w:numId w:val="20"/>
        </w:numPr>
        <w:jc w:val="both"/>
      </w:pPr>
      <w:r>
        <w:t>L</w:t>
      </w:r>
      <w:r w:rsidRPr="00E21468">
        <w:t>e refus d'un associé de voter une modification de l'objet statutaire de la société l'empêchant de fonctionner conformément à son objet réel (</w:t>
      </w:r>
      <w:r w:rsidRPr="001D2A05">
        <w:rPr>
          <w:i/>
          <w:u w:val="single"/>
        </w:rPr>
        <w:t>Cass. com., 4 févr. 2014, n°12-29348</w:t>
      </w:r>
      <w:r>
        <w:t>)</w:t>
      </w:r>
    </w:p>
    <w:p w14:paraId="389DA3B7" w14:textId="77777777" w:rsidR="00A55A7A" w:rsidRDefault="00A55A7A" w:rsidP="00A55A7A"/>
    <w:p w14:paraId="129E62F3" w14:textId="77777777" w:rsidR="00A55A7A" w:rsidRDefault="00A55A7A" w:rsidP="00A55A7A">
      <w:r>
        <w:t>S’agissant de l’appréciation de l’existence d’un trouble manifestement illicite, la Cour de cassation exerce son contrôle sur cette notion (</w:t>
      </w:r>
      <w:r w:rsidRPr="001018EE">
        <w:rPr>
          <w:i/>
          <w:u w:val="single"/>
        </w:rPr>
        <w:t>Cass. Ass. plén., 28 juin 1996, n°94-15935</w:t>
      </w:r>
      <w:r>
        <w:t xml:space="preserve">) ou son absence (pour une corrida organisée dans la zone couverte par une tradition locale ininterrompue : </w:t>
      </w:r>
      <w:r w:rsidRPr="001018EE">
        <w:rPr>
          <w:i/>
          <w:u w:val="single"/>
        </w:rPr>
        <w:t>Cass. 2</w:t>
      </w:r>
      <w:r w:rsidRPr="001018EE">
        <w:rPr>
          <w:i/>
          <w:u w:val="single"/>
          <w:vertAlign w:val="superscript"/>
        </w:rPr>
        <w:t>e</w:t>
      </w:r>
      <w:r w:rsidRPr="001018EE">
        <w:rPr>
          <w:i/>
          <w:u w:val="single"/>
        </w:rPr>
        <w:t xml:space="preserve"> Civ., 22 novembre 2001, n°00-16452</w:t>
      </w:r>
      <w:r>
        <w:t>).</w:t>
      </w:r>
    </w:p>
    <w:p w14:paraId="6146B1FB" w14:textId="77777777" w:rsidR="00A55A7A" w:rsidRDefault="00A55A7A" w:rsidP="00A55A7A"/>
    <w:p w14:paraId="7026E2BE" w14:textId="77777777" w:rsidR="00A55A7A" w:rsidRDefault="00A55A7A" w:rsidP="00A55A7A">
      <w:r>
        <w:t>Plus précisément, la deuxième chambre civile a décidé de laisser à l’appréciation souveraine des juges du fond les éléments de preuve établissant l’existence du trouble, mais exerce son contrôle sur l’illicéité manifeste de ce trouble (</w:t>
      </w:r>
      <w:r w:rsidRPr="001018EE">
        <w:rPr>
          <w:i/>
          <w:u w:val="single"/>
        </w:rPr>
        <w:t>Cass. 2</w:t>
      </w:r>
      <w:r w:rsidRPr="001018EE">
        <w:rPr>
          <w:i/>
          <w:u w:val="single"/>
          <w:vertAlign w:val="superscript"/>
        </w:rPr>
        <w:t>e</w:t>
      </w:r>
      <w:r w:rsidRPr="001018EE">
        <w:rPr>
          <w:i/>
          <w:u w:val="single"/>
        </w:rPr>
        <w:t xml:space="preserve"> Civ., 7 juin 2007, n°07-10.601</w:t>
      </w:r>
      <w:r>
        <w:t xml:space="preserve"> ; </w:t>
      </w:r>
      <w:r w:rsidRPr="001018EE">
        <w:rPr>
          <w:i/>
          <w:u w:val="single"/>
        </w:rPr>
        <w:t>Cass. 2</w:t>
      </w:r>
      <w:r w:rsidRPr="001018EE">
        <w:rPr>
          <w:i/>
          <w:u w:val="single"/>
          <w:vertAlign w:val="superscript"/>
        </w:rPr>
        <w:t>e</w:t>
      </w:r>
      <w:r w:rsidRPr="001018EE">
        <w:rPr>
          <w:i/>
          <w:u w:val="single"/>
        </w:rPr>
        <w:t xml:space="preserve"> civ., 6 décembre 2007, n°07-12.256</w:t>
      </w:r>
      <w:r>
        <w:t>).</w:t>
      </w:r>
    </w:p>
    <w:p w14:paraId="1ED576D5" w14:textId="77777777" w:rsidR="00A55A7A" w:rsidRDefault="00A55A7A" w:rsidP="00A55A7A"/>
    <w:p w14:paraId="7E3C7AC1" w14:textId="77777777" w:rsidR="00A55A7A" w:rsidRDefault="00A55A7A" w:rsidP="00A55A7A">
      <w:r>
        <w:t>Les juges du provisoire apprécient ensuite souverainement la mesure propre à mettre fin au trouble qu’ils ont constaté (</w:t>
      </w:r>
      <w:r w:rsidRPr="001018EE">
        <w:rPr>
          <w:i/>
          <w:u w:val="single"/>
        </w:rPr>
        <w:t>Cass. 2</w:t>
      </w:r>
      <w:r w:rsidRPr="001018EE">
        <w:rPr>
          <w:i/>
          <w:u w:val="single"/>
          <w:vertAlign w:val="superscript"/>
        </w:rPr>
        <w:t>e</w:t>
      </w:r>
      <w:r w:rsidRPr="001018EE">
        <w:rPr>
          <w:i/>
          <w:u w:val="single"/>
        </w:rPr>
        <w:t xml:space="preserve"> civ., 12 juillet 2012n°11-20.687</w:t>
      </w:r>
      <w:r>
        <w:t>), car il résulte de la lettre même du texte que l’intervention du juge des référés ne peut tendre qu’à faire cesser le trouble (ou à empêcher la survenance du dommage imminent), ce qui lui laisse une latitude importante dans le choix des mesures, à cette exception près que la mesure ne doit pas être inopérante (</w:t>
      </w:r>
      <w:r w:rsidRPr="001018EE">
        <w:rPr>
          <w:i/>
          <w:u w:val="single"/>
        </w:rPr>
        <w:t>Cass. 2</w:t>
      </w:r>
      <w:r w:rsidRPr="001018EE">
        <w:rPr>
          <w:i/>
          <w:u w:val="single"/>
          <w:vertAlign w:val="superscript"/>
        </w:rPr>
        <w:t>e</w:t>
      </w:r>
      <w:r w:rsidRPr="001018EE">
        <w:rPr>
          <w:i/>
          <w:u w:val="single"/>
        </w:rPr>
        <w:t xml:space="preserve"> civ., 30 avril 2009, n°08-16.493</w:t>
      </w:r>
      <w:r>
        <w:t>) et ne pas porter une atteinte excessive à la liberté d’expression (</w:t>
      </w:r>
      <w:r w:rsidRPr="001018EE">
        <w:rPr>
          <w:i/>
          <w:u w:val="single"/>
        </w:rPr>
        <w:t>Cass. soc., 26 mai 2010, n°09-12282</w:t>
      </w:r>
      <w:r>
        <w:t>).</w:t>
      </w:r>
    </w:p>
    <w:p w14:paraId="713E32D9" w14:textId="77777777" w:rsidR="00A55A7A" w:rsidRDefault="00A55A7A" w:rsidP="00A55A7A"/>
    <w:p w14:paraId="7A31AF08" w14:textId="77777777" w:rsidR="00A55A7A" w:rsidRDefault="00A55A7A" w:rsidP="00A55A7A">
      <w:r>
        <w:t xml:space="preserve">Mais si, au jour où le juge des référés statue, le trouble allégué a pris fin, aucune mesure ne peut être prononcée sur le fondement de </w:t>
      </w:r>
      <w:r w:rsidRPr="001018EE">
        <w:rPr>
          <w:u w:val="single"/>
        </w:rPr>
        <w:t>l’article 809, al. 1</w:t>
      </w:r>
      <w:r w:rsidRPr="001018EE">
        <w:rPr>
          <w:u w:val="single"/>
          <w:vertAlign w:val="superscript"/>
        </w:rPr>
        <w:t>er</w:t>
      </w:r>
      <w:r>
        <w:t>, du CPC, étant précisé qu’en cas d’appel, la cour d’appel statuant en référé doit apprécier l’existence du trouble ou du risque allégué en se plaçant au jour où le premier juge a rendu sa décision et non au jour où elle statue (</w:t>
      </w:r>
      <w:r w:rsidRPr="001018EE">
        <w:rPr>
          <w:i/>
          <w:u w:val="single"/>
        </w:rPr>
        <w:t>Cass. 2</w:t>
      </w:r>
      <w:r w:rsidRPr="001018EE">
        <w:rPr>
          <w:i/>
          <w:u w:val="single"/>
          <w:vertAlign w:val="superscript"/>
        </w:rPr>
        <w:t>e</w:t>
      </w:r>
      <w:r w:rsidRPr="001018EE">
        <w:rPr>
          <w:i/>
          <w:u w:val="single"/>
        </w:rPr>
        <w:t xml:space="preserve"> civ., 4 juin 2009, n°08-17174</w:t>
      </w:r>
      <w:r>
        <w:t xml:space="preserve">). </w:t>
      </w:r>
    </w:p>
    <w:p w14:paraId="5F14BE04" w14:textId="77777777" w:rsidR="00A55A7A" w:rsidRDefault="00A55A7A" w:rsidP="00A55A7A"/>
    <w:p w14:paraId="39CA7FE3" w14:textId="77777777" w:rsidR="00A55A7A" w:rsidRDefault="00A55A7A" w:rsidP="00A55A7A">
      <w:r>
        <w:t>En cas de cessation du trouble au jour de l’ordonnance, seule la réparation du dommage peut alors être envisagée, mais elle relève du juge du fond (</w:t>
      </w:r>
      <w:r w:rsidRPr="001018EE">
        <w:rPr>
          <w:i/>
          <w:u w:val="single"/>
        </w:rPr>
        <w:t>Cass. 2</w:t>
      </w:r>
      <w:r w:rsidRPr="001018EE">
        <w:rPr>
          <w:i/>
          <w:u w:val="single"/>
          <w:vertAlign w:val="superscript"/>
        </w:rPr>
        <w:t>e</w:t>
      </w:r>
      <w:r w:rsidRPr="001018EE">
        <w:rPr>
          <w:i/>
          <w:u w:val="single"/>
        </w:rPr>
        <w:t xml:space="preserve"> civ., 22 septembre 2005, n°04-12.032</w:t>
      </w:r>
      <w:r>
        <w:t>), ce dernier ne disposant pas, en l’état des textes, des moyens de faire cesser l’illicite, quoiqu’il puisse condamner, sur le fondement de l’article 1240 du code civil, à des dommages-intérêts pour compenser le coût de réparations de nature à empêcher la survenance d’un dommage grave et imminent, que la jurisprudence assimile au préjudice certain (</w:t>
      </w:r>
      <w:r w:rsidRPr="001018EE">
        <w:rPr>
          <w:i/>
          <w:u w:val="single"/>
        </w:rPr>
        <w:t>Cass. 2</w:t>
      </w:r>
      <w:r w:rsidRPr="001018EE">
        <w:rPr>
          <w:i/>
          <w:u w:val="single"/>
          <w:vertAlign w:val="superscript"/>
        </w:rPr>
        <w:t>e</w:t>
      </w:r>
      <w:r w:rsidRPr="001018EE">
        <w:rPr>
          <w:i/>
          <w:u w:val="single"/>
        </w:rPr>
        <w:t xml:space="preserve"> civ., 15 mai 2008, n°07-13483</w:t>
      </w:r>
      <w:r>
        <w:t>).</w:t>
      </w:r>
    </w:p>
    <w:p w14:paraId="2898F88A" w14:textId="77777777" w:rsidR="00A55A7A" w:rsidRDefault="00A55A7A" w:rsidP="00A55A7A"/>
    <w:p w14:paraId="0F838E24" w14:textId="77777777" w:rsidR="00A55A7A" w:rsidRPr="000C2A1C" w:rsidRDefault="00A55A7A" w:rsidP="00A55A7A">
      <w:pPr>
        <w:rPr>
          <w:b/>
          <w:u w:val="single"/>
        </w:rPr>
      </w:pPr>
      <w:r>
        <w:sym w:font="Wingdings" w:char="F0E8"/>
      </w:r>
      <w:r w:rsidRPr="000C2A1C">
        <w:rPr>
          <w:b/>
          <w:u w:val="single"/>
        </w:rPr>
        <w:t>Sur l</w:t>
      </w:r>
      <w:r>
        <w:rPr>
          <w:b/>
          <w:u w:val="single"/>
        </w:rPr>
        <w:t>es</w:t>
      </w:r>
      <w:r w:rsidRPr="000C2A1C">
        <w:rPr>
          <w:b/>
          <w:u w:val="single"/>
        </w:rPr>
        <w:t xml:space="preserve"> mesure</w:t>
      </w:r>
      <w:r>
        <w:rPr>
          <w:b/>
          <w:u w:val="single"/>
        </w:rPr>
        <w:t>s</w:t>
      </w:r>
      <w:r w:rsidRPr="000C2A1C">
        <w:rPr>
          <w:b/>
          <w:u w:val="single"/>
        </w:rPr>
        <w:t xml:space="preserve"> de remise en état</w:t>
      </w:r>
    </w:p>
    <w:p w14:paraId="44F0C3E9" w14:textId="77777777" w:rsidR="00A55A7A" w:rsidRDefault="00A55A7A" w:rsidP="00A55A7A"/>
    <w:p w14:paraId="63988A66" w14:textId="77777777" w:rsidR="00A55A7A" w:rsidRDefault="00A55A7A" w:rsidP="00A55A7A">
      <w:r>
        <w:t xml:space="preserve">La mesure de remise en état prescrite par le juge doit avoir pour finalité de faire cesser le trouble manifestement illicite dont il est fait état par le demandeur. </w:t>
      </w:r>
    </w:p>
    <w:p w14:paraId="6E025334" w14:textId="77777777" w:rsidR="00A55A7A" w:rsidRDefault="00A55A7A" w:rsidP="00A55A7A"/>
    <w:p w14:paraId="6A3EDE29" w14:textId="77777777" w:rsidR="00A55A7A" w:rsidRDefault="00A55A7A" w:rsidP="00A55A7A">
      <w:r>
        <w:t xml:space="preserve">Il pourra donc s’agir de faire cesser la diffusion d’un article de presse diffamatoire, de prononcer la mainlevée d’une saisie pratiquée sans titre exécutoire, d’ordonner la destruction de travaux, la remise en état des lieux ou encore l’expulsion d’un occupant sans droit ni titre. </w:t>
      </w:r>
    </w:p>
    <w:p w14:paraId="08DDB6DF" w14:textId="77777777" w:rsidR="00A55A7A" w:rsidRDefault="00A55A7A" w:rsidP="00A55A7A"/>
    <w:p w14:paraId="3CBD32AC" w14:textId="77777777" w:rsidR="00A55A7A" w:rsidRDefault="00A55A7A" w:rsidP="00A55A7A">
      <w:r>
        <w:lastRenderedPageBreak/>
        <w:t xml:space="preserve">La demande d’adoption d’une mesure de remise en état ne pourra être motivée que par la nécessité de faire cesser un trouble manifestement illicite. </w:t>
      </w:r>
    </w:p>
    <w:p w14:paraId="6D7CBE24" w14:textId="77777777" w:rsidR="00A55A7A" w:rsidRDefault="00A55A7A" w:rsidP="0001143C"/>
    <w:p w14:paraId="546BECE9" w14:textId="6FBF6196" w:rsidR="004A2A62" w:rsidRPr="00B126B4" w:rsidRDefault="004A2A62" w:rsidP="00B126B4">
      <w:pPr>
        <w:pStyle w:val="Paragraphedeliste"/>
        <w:numPr>
          <w:ilvl w:val="0"/>
          <w:numId w:val="19"/>
        </w:numPr>
        <w:rPr>
          <w:b/>
          <w:u w:val="single"/>
        </w:rPr>
      </w:pPr>
      <w:r w:rsidRPr="00B126B4">
        <w:rPr>
          <w:b/>
          <w:u w:val="single"/>
        </w:rPr>
        <w:t>En l’espèce</w:t>
      </w:r>
    </w:p>
    <w:p w14:paraId="4B6C86A1" w14:textId="77777777" w:rsidR="004A2A62" w:rsidRDefault="004A2A62" w:rsidP="0001143C"/>
    <w:p w14:paraId="1D759C1E" w14:textId="77777777" w:rsidR="00D81F0D" w:rsidRDefault="00D81F0D" w:rsidP="0001143C"/>
    <w:p w14:paraId="43F2E545" w14:textId="77777777" w:rsidR="00D81F0D" w:rsidRPr="00D81F0D" w:rsidRDefault="00D81F0D" w:rsidP="00D81F0D">
      <w:pPr>
        <w:jc w:val="center"/>
        <w:rPr>
          <w:i/>
        </w:rPr>
      </w:pPr>
      <w:r w:rsidRPr="00D81F0D">
        <w:rPr>
          <w:i/>
        </w:rPr>
        <w:t>[…]</w:t>
      </w:r>
    </w:p>
    <w:p w14:paraId="58524EA6" w14:textId="77777777" w:rsidR="00D81F0D" w:rsidRDefault="00D81F0D" w:rsidP="0001143C"/>
    <w:p w14:paraId="68A01430" w14:textId="77777777" w:rsidR="004A2A62" w:rsidRDefault="004A2A62" w:rsidP="0001143C"/>
    <w:p w14:paraId="60336621" w14:textId="478A3459" w:rsidR="00D81F0D" w:rsidRDefault="004A2A62" w:rsidP="0001143C">
      <w:r>
        <w:sym w:font="Wingdings" w:char="F0E8"/>
      </w:r>
      <w:r w:rsidRPr="004A2A62">
        <w:rPr>
          <w:b/>
          <w:u w:val="single"/>
        </w:rPr>
        <w:t>En conséquence,</w:t>
      </w:r>
      <w:r>
        <w:t xml:space="preserve"> </w:t>
      </w:r>
      <w:r w:rsidR="00D81F0D">
        <w:t xml:space="preserve">il est </w:t>
      </w:r>
      <w:bookmarkStart w:id="0" w:name="_GoBack"/>
      <w:bookmarkEnd w:id="0"/>
      <w:r w:rsidR="00D81F0D">
        <w:t>demandé au Président du Tribunal de céans</w:t>
      </w:r>
      <w:r w:rsidR="0001167A">
        <w:t xml:space="preserve"> d</w:t>
      </w:r>
      <w:r w:rsidR="008B50EA">
        <w:t>’ordonner</w:t>
      </w:r>
      <w:r w:rsidR="001401DE">
        <w:t>,</w:t>
      </w:r>
      <w:r w:rsidR="0001167A">
        <w:t xml:space="preserve"> </w:t>
      </w:r>
      <w:r w:rsidR="008B50EA">
        <w:t xml:space="preserve">à </w:t>
      </w:r>
      <w:r w:rsidR="008B50EA" w:rsidRPr="003B06BA">
        <w:rPr>
          <w:i/>
        </w:rPr>
        <w:t>[nom de la partie visée]</w:t>
      </w:r>
      <w:r w:rsidR="008B50EA">
        <w:t xml:space="preserve"> de</w:t>
      </w:r>
      <w:r w:rsidR="00840074" w:rsidRPr="00840074">
        <w:t xml:space="preserve"> faire cesser le trouble manifestement illicite</w:t>
      </w:r>
      <w:r w:rsidR="008B50EA">
        <w:t xml:space="preserve"> </w:t>
      </w:r>
      <w:r w:rsidR="00840074">
        <w:t xml:space="preserve">dont il est fait état en </w:t>
      </w:r>
      <w:r w:rsidR="0001167A" w:rsidRPr="0001167A">
        <w:rPr>
          <w:i/>
        </w:rPr>
        <w:t>[préciser la mesure</w:t>
      </w:r>
      <w:r w:rsidR="00E11991">
        <w:rPr>
          <w:i/>
        </w:rPr>
        <w:t xml:space="preserve"> à </w:t>
      </w:r>
      <w:r w:rsidR="008B50EA">
        <w:rPr>
          <w:i/>
        </w:rPr>
        <w:t>ordonner</w:t>
      </w:r>
      <w:r w:rsidR="0001167A" w:rsidRPr="0001167A">
        <w:rPr>
          <w:i/>
        </w:rPr>
        <w:t>]</w:t>
      </w:r>
      <w:r w:rsidR="0001167A">
        <w:t xml:space="preserve">, </w:t>
      </w:r>
      <w:r w:rsidR="008B50EA">
        <w:t>ce</w:t>
      </w:r>
      <w:r w:rsidR="00D81F0D">
        <w:t xml:space="preserve"> sous une astreinte de </w:t>
      </w:r>
      <w:r w:rsidR="00D81F0D">
        <w:rPr>
          <w:i/>
        </w:rPr>
        <w:t>[X euros</w:t>
      </w:r>
      <w:r w:rsidR="00D81F0D" w:rsidRPr="003B06BA">
        <w:rPr>
          <w:i/>
        </w:rPr>
        <w:t>]</w:t>
      </w:r>
      <w:r w:rsidR="00D81F0D">
        <w:t xml:space="preserve"> par jour de retard à compter de l’expiration d’un délai de quinze jours suivant la signification de la décision à intervenir.</w:t>
      </w:r>
    </w:p>
    <w:p w14:paraId="2EE1E106" w14:textId="77777777" w:rsidR="00D81F0D" w:rsidRDefault="00D81F0D" w:rsidP="0001143C"/>
    <w:p w14:paraId="2A825F46" w14:textId="77777777" w:rsidR="00D81F0D" w:rsidRDefault="00D81F0D" w:rsidP="0001143C"/>
    <w:p w14:paraId="668DCDD4" w14:textId="49ED172C" w:rsidR="00290A87" w:rsidRPr="00727DE4" w:rsidRDefault="004E69BA" w:rsidP="00727DE4">
      <w:pPr>
        <w:pStyle w:val="Paragraphedeliste"/>
        <w:numPr>
          <w:ilvl w:val="0"/>
          <w:numId w:val="14"/>
        </w:numPr>
        <w:rPr>
          <w:b/>
        </w:rPr>
      </w:pPr>
      <w:r w:rsidRPr="00727DE4">
        <w:rPr>
          <w:b/>
          <w:u w:val="single"/>
        </w:rPr>
        <w:t>Sur les frais irrépétibles</w:t>
      </w:r>
      <w:r w:rsidR="00730154" w:rsidRPr="00727DE4">
        <w:rPr>
          <w:b/>
          <w:u w:val="single"/>
        </w:rPr>
        <w:t xml:space="preserve"> et</w:t>
      </w:r>
      <w:r w:rsidRPr="00727DE4">
        <w:rPr>
          <w:b/>
          <w:u w:val="single"/>
        </w:rPr>
        <w:t xml:space="preserve"> les dépens</w:t>
      </w:r>
    </w:p>
    <w:p w14:paraId="691E3034" w14:textId="77777777" w:rsidR="004E69BA" w:rsidRDefault="004E69BA" w:rsidP="00290A87"/>
    <w:p w14:paraId="462C3433" w14:textId="178C7991" w:rsidR="00290A87" w:rsidRDefault="00290A87" w:rsidP="00290A87">
      <w:r>
        <w:t xml:space="preserve">Compte tenu de ce qu’il serait inéquitable de laisser à la charge de </w:t>
      </w:r>
      <w:r w:rsidRPr="007F35EA">
        <w:rPr>
          <w:i/>
        </w:rPr>
        <w:t>[nom du demandeur]</w:t>
      </w:r>
      <w:r>
        <w:t xml:space="preserve"> les frais irrépétibles qu’il a été contraint d’exposer en justice aux fins de défendre ses intérêts</w:t>
      </w:r>
      <w:r w:rsidR="003E1198">
        <w:t xml:space="preserve"> et faire valoir ses droits</w:t>
      </w:r>
      <w:r>
        <w:t xml:space="preserve">, il est parfaitement fondé à solliciter la condamnation de </w:t>
      </w:r>
      <w:r w:rsidRPr="007F35EA">
        <w:rPr>
          <w:i/>
        </w:rPr>
        <w:t>[nom du défendeur]</w:t>
      </w:r>
      <w:r>
        <w:t xml:space="preserve"> </w:t>
      </w:r>
      <w:r w:rsidR="002B5975">
        <w:t>au</w:t>
      </w:r>
      <w:r>
        <w:t xml:space="preserve"> paiement de la somme de </w:t>
      </w:r>
      <w:r w:rsidRPr="007F35EA">
        <w:rPr>
          <w:i/>
        </w:rPr>
        <w:t>[montant]</w:t>
      </w:r>
      <w:r>
        <w:t xml:space="preserve"> au titre de l’article 700 du Code de procédure civile, outre les entiers dépens. </w:t>
      </w:r>
    </w:p>
    <w:p w14:paraId="28DB654A" w14:textId="77777777" w:rsidR="00290A87" w:rsidRDefault="00290A87" w:rsidP="00290A87"/>
    <w:p w14:paraId="03C99CC8" w14:textId="04FC2711" w:rsidR="00C82578" w:rsidRDefault="00C82578" w:rsidP="00290A87">
      <w:r w:rsidRPr="00810630">
        <w:t>Les pièces justificatives visées par le requérant sont énumérées dans le bordereau annexé aux présentes écritures.</w:t>
      </w:r>
    </w:p>
    <w:p w14:paraId="6890506A" w14:textId="77777777" w:rsidR="004731E2" w:rsidRDefault="00823261" w:rsidP="007B458A">
      <w:r>
        <w:br w:type="page"/>
      </w:r>
    </w:p>
    <w:p w14:paraId="0369CF59"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0D443ED6" w14:textId="1F81B79C" w:rsidR="00D13484" w:rsidRPr="00780FAB" w:rsidRDefault="00D13484" w:rsidP="007B458A">
      <w:pPr>
        <w:rPr>
          <w:i/>
        </w:rPr>
      </w:pPr>
      <w:r w:rsidRPr="00780FAB">
        <w:rPr>
          <w:i/>
        </w:rPr>
        <w:t>Vu l</w:t>
      </w:r>
      <w:r w:rsidR="004A2A62">
        <w:rPr>
          <w:i/>
        </w:rPr>
        <w:t xml:space="preserve">’article </w:t>
      </w:r>
      <w:r w:rsidR="009A017F">
        <w:rPr>
          <w:i/>
        </w:rPr>
        <w:t>809, al. 1</w:t>
      </w:r>
      <w:r w:rsidR="009A017F" w:rsidRPr="009A017F">
        <w:rPr>
          <w:i/>
          <w:vertAlign w:val="superscript"/>
        </w:rPr>
        <w:t>er</w:t>
      </w:r>
      <w:r w:rsidR="009A017F">
        <w:rPr>
          <w:i/>
        </w:rPr>
        <w:t xml:space="preserve"> </w:t>
      </w:r>
      <w:r w:rsidR="004A2A62">
        <w:rPr>
          <w:i/>
        </w:rPr>
        <w:t>du Code de procédure civile</w:t>
      </w:r>
    </w:p>
    <w:p w14:paraId="0E2B3F62" w14:textId="77777777" w:rsidR="00C35FDB" w:rsidRPr="00C35FDB" w:rsidRDefault="00C35FDB" w:rsidP="007B458A">
      <w:pPr>
        <w:rPr>
          <w:i/>
        </w:rPr>
      </w:pPr>
      <w:r w:rsidRPr="00C35FDB">
        <w:rPr>
          <w:i/>
        </w:rPr>
        <w:t>Vu la jurisprudence</w:t>
      </w:r>
    </w:p>
    <w:p w14:paraId="2C2B4973" w14:textId="77777777" w:rsidR="00C35FDB" w:rsidRPr="00C35FDB" w:rsidRDefault="00C35FDB" w:rsidP="007B458A">
      <w:pPr>
        <w:rPr>
          <w:i/>
        </w:rPr>
      </w:pPr>
      <w:r w:rsidRPr="00C35FDB">
        <w:rPr>
          <w:i/>
        </w:rPr>
        <w:t>Vu les pièces versées au débat</w:t>
      </w:r>
    </w:p>
    <w:p w14:paraId="13AD991F" w14:textId="77777777" w:rsidR="00C35FDB" w:rsidRDefault="00C35FDB" w:rsidP="007B458A"/>
    <w:p w14:paraId="05D7F3A9" w14:textId="77777777" w:rsidR="00C35FDB" w:rsidRDefault="00C35FDB" w:rsidP="007B458A">
      <w:r>
        <w:t xml:space="preserve">Il est demandé au </w:t>
      </w:r>
      <w:r w:rsidR="003D6B0C">
        <w:t xml:space="preserve">Président près le </w:t>
      </w:r>
      <w:r>
        <w:t xml:space="preserve">Tribunal </w:t>
      </w:r>
      <w:r w:rsidR="00210AB0">
        <w:t xml:space="preserve">de Grande Instance de </w:t>
      </w:r>
      <w:r w:rsidR="00210AB0" w:rsidRPr="007B57FF">
        <w:rPr>
          <w:i/>
        </w:rPr>
        <w:t>[ville]</w:t>
      </w:r>
      <w:r w:rsidR="006514E3">
        <w:t xml:space="preserve"> de :</w:t>
      </w:r>
    </w:p>
    <w:p w14:paraId="48AB531D" w14:textId="77777777" w:rsidR="00BE7B86" w:rsidRDefault="00BE7B86" w:rsidP="00761936"/>
    <w:p w14:paraId="6FA06CA1" w14:textId="77777777" w:rsidR="006514E3" w:rsidRDefault="006514E3" w:rsidP="006514E3">
      <w:r>
        <w:t>Déclarant</w:t>
      </w:r>
      <w:r w:rsidRPr="00092898">
        <w:t xml:space="preserve"> la demande de </w:t>
      </w:r>
      <w:r w:rsidRPr="00092898">
        <w:rPr>
          <w:i/>
        </w:rPr>
        <w:t>[Nom du demandeur]</w:t>
      </w:r>
      <w:r>
        <w:t xml:space="preserve"> recevable et bien fondée,</w:t>
      </w:r>
    </w:p>
    <w:p w14:paraId="7874484F" w14:textId="77777777" w:rsidR="00865B99" w:rsidRDefault="00865B99" w:rsidP="007B458A">
      <w:pPr>
        <w:rPr>
          <w:rFonts w:eastAsia="Calibri"/>
          <w:b/>
          <w:szCs w:val="22"/>
          <w:u w:val="single"/>
          <w:lang w:eastAsia="en-US"/>
        </w:rPr>
      </w:pPr>
    </w:p>
    <w:p w14:paraId="2006E73A" w14:textId="77777777" w:rsidR="0039097E" w:rsidRDefault="0039097E" w:rsidP="00840074">
      <w:pPr>
        <w:rPr>
          <w:rFonts w:eastAsia="Calibri"/>
          <w:b/>
          <w:szCs w:val="22"/>
          <w:u w:val="single"/>
          <w:lang w:eastAsia="en-US"/>
        </w:rPr>
      </w:pPr>
    </w:p>
    <w:p w14:paraId="43E15E88" w14:textId="5DB039DF" w:rsidR="0039097E" w:rsidRPr="00840074" w:rsidRDefault="00840074" w:rsidP="00840074">
      <w:pPr>
        <w:pStyle w:val="Paragraphedeliste"/>
        <w:numPr>
          <w:ilvl w:val="0"/>
          <w:numId w:val="5"/>
        </w:numPr>
        <w:jc w:val="both"/>
        <w:rPr>
          <w:b/>
          <w:u w:val="single"/>
        </w:rPr>
      </w:pPr>
      <w:r w:rsidRPr="00A505F8">
        <w:rPr>
          <w:b/>
        </w:rPr>
        <w:t>DIRE ET JUGER</w:t>
      </w:r>
      <w:r w:rsidRPr="00840074">
        <w:rPr>
          <w:bCs/>
        </w:rPr>
        <w:t xml:space="preserve"> que </w:t>
      </w:r>
      <w:r w:rsidRPr="00840074">
        <w:rPr>
          <w:bCs/>
          <w:i/>
          <w:iCs/>
        </w:rPr>
        <w:t>[préciser le trouble]</w:t>
      </w:r>
      <w:r>
        <w:rPr>
          <w:bCs/>
        </w:rPr>
        <w:t xml:space="preserve"> constitue un trouble manifestement illicite </w:t>
      </w:r>
      <w:r w:rsidR="00172EF2">
        <w:rPr>
          <w:bCs/>
        </w:rPr>
        <w:t>qu’il y a lieu de faire cesser</w:t>
      </w:r>
    </w:p>
    <w:p w14:paraId="35ED17EE" w14:textId="77777777" w:rsidR="008A1E64" w:rsidRDefault="008A1E64" w:rsidP="00840074"/>
    <w:p w14:paraId="63BBD1E3" w14:textId="77777777" w:rsidR="00210AB0" w:rsidRDefault="00210AB0" w:rsidP="00840074">
      <w:pPr>
        <w:pStyle w:val="Paragraphedeliste"/>
        <w:numPr>
          <w:ilvl w:val="0"/>
          <w:numId w:val="5"/>
        </w:numPr>
        <w:jc w:val="both"/>
      </w:pPr>
      <w:r w:rsidRPr="00976774">
        <w:rPr>
          <w:b/>
        </w:rPr>
        <w:t>DIRE ET JUGER</w:t>
      </w:r>
      <w:r>
        <w:t xml:space="preserve"> qu’il serait inéquitable de laisser à la charge de </w:t>
      </w:r>
      <w:r w:rsidRPr="00470DF8">
        <w:rPr>
          <w:i/>
        </w:rPr>
        <w:t>[</w:t>
      </w:r>
      <w:r w:rsidR="00976774" w:rsidRPr="00470DF8">
        <w:rPr>
          <w:i/>
        </w:rPr>
        <w:t>nom du demandeur]</w:t>
      </w:r>
      <w:r w:rsidR="00976774">
        <w:t xml:space="preserve"> </w:t>
      </w:r>
      <w:r>
        <w:t>les</w:t>
      </w:r>
      <w:r w:rsidR="00976774">
        <w:t xml:space="preserve"> </w:t>
      </w:r>
      <w:r>
        <w:t xml:space="preserve">frais irrépétibles qu’il </w:t>
      </w:r>
      <w:r w:rsidR="00976774">
        <w:t>a</w:t>
      </w:r>
      <w:r>
        <w:t xml:space="preserve"> été contraint d’exposer en justice aux fins de défendre </w:t>
      </w:r>
      <w:r w:rsidR="00976774">
        <w:t xml:space="preserve">ses </w:t>
      </w:r>
      <w:r>
        <w:t>intérêts</w:t>
      </w:r>
    </w:p>
    <w:p w14:paraId="376FD5CB" w14:textId="77777777" w:rsidR="00210AB0" w:rsidRDefault="00210AB0" w:rsidP="00840074"/>
    <w:p w14:paraId="5869AEE7" w14:textId="77777777" w:rsidR="00976774" w:rsidRDefault="00976774" w:rsidP="00840074">
      <w:r>
        <w:t>En conséquence,</w:t>
      </w:r>
    </w:p>
    <w:p w14:paraId="631DADCF" w14:textId="04A1B6EB" w:rsidR="00840074" w:rsidRDefault="00840074" w:rsidP="00840074"/>
    <w:p w14:paraId="69033A5D" w14:textId="3E2AC589" w:rsidR="00840074" w:rsidRDefault="00840074" w:rsidP="00840074">
      <w:pPr>
        <w:numPr>
          <w:ilvl w:val="0"/>
          <w:numId w:val="5"/>
        </w:numPr>
      </w:pPr>
      <w:r w:rsidRPr="001F0ACC">
        <w:rPr>
          <w:b/>
        </w:rPr>
        <w:t>ORDONNER</w:t>
      </w:r>
      <w:r>
        <w:t xml:space="preserve"> à </w:t>
      </w:r>
      <w:r w:rsidRPr="003B06BA">
        <w:rPr>
          <w:i/>
        </w:rPr>
        <w:t>[nom de la partie visée]</w:t>
      </w:r>
      <w:r>
        <w:t xml:space="preserve"> de </w:t>
      </w:r>
      <w:r w:rsidRPr="0001167A">
        <w:rPr>
          <w:i/>
        </w:rPr>
        <w:t>[préciser la mesure</w:t>
      </w:r>
      <w:r>
        <w:rPr>
          <w:i/>
        </w:rPr>
        <w:t xml:space="preserve"> à ordonner</w:t>
      </w:r>
      <w:r w:rsidRPr="0001167A">
        <w:rPr>
          <w:i/>
        </w:rPr>
        <w:t>]</w:t>
      </w:r>
      <w:r>
        <w:t xml:space="preserve">, ce sous une astreinte de </w:t>
      </w:r>
      <w:r>
        <w:rPr>
          <w:i/>
        </w:rPr>
        <w:t>[X euros</w:t>
      </w:r>
      <w:r w:rsidRPr="003B06BA">
        <w:rPr>
          <w:i/>
        </w:rPr>
        <w:t>]</w:t>
      </w:r>
      <w:r>
        <w:t xml:space="preserve"> par jour de retard à compter de l’expiration d’un délai de quinze jours suivant la signification de la décision à intervenir.</w:t>
      </w:r>
    </w:p>
    <w:p w14:paraId="4AF30B3F" w14:textId="77777777" w:rsidR="00840074" w:rsidRDefault="00840074" w:rsidP="00840074"/>
    <w:p w14:paraId="49370083" w14:textId="77777777" w:rsidR="00BE7B86" w:rsidRDefault="00BE7B86" w:rsidP="00840074">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5E1B7309" w14:textId="77777777" w:rsidR="00BE7B86" w:rsidRDefault="00BE7B86" w:rsidP="00840074"/>
    <w:p w14:paraId="5E190B1E" w14:textId="77777777" w:rsidR="00AC14F5" w:rsidRDefault="00BE7B86" w:rsidP="00840074">
      <w:pPr>
        <w:numPr>
          <w:ilvl w:val="0"/>
          <w:numId w:val="5"/>
        </w:numPr>
      </w:pPr>
      <w:r>
        <w:rPr>
          <w:b/>
        </w:rPr>
        <w:t>CONDAMNER</w:t>
      </w:r>
      <w:r>
        <w:t xml:space="preserve"> </w:t>
      </w:r>
      <w:r w:rsidR="00470DF8" w:rsidRPr="00210AB0">
        <w:rPr>
          <w:i/>
        </w:rPr>
        <w:t>[nom de l’adversaire]</w:t>
      </w:r>
      <w:r w:rsidR="00470DF8">
        <w:t xml:space="preserve"> </w:t>
      </w:r>
      <w:r>
        <w:t>aux entiers dépens</w:t>
      </w:r>
      <w:r w:rsidR="00AC14F5">
        <w:t xml:space="preserve">, </w:t>
      </w:r>
      <w:r w:rsidR="00AC14F5" w:rsidRPr="007B26A2">
        <w:t xml:space="preserve">dont distraction au profit de Maître </w:t>
      </w:r>
      <w:r w:rsidR="00AC14F5" w:rsidRPr="007B26A2">
        <w:rPr>
          <w:i/>
        </w:rPr>
        <w:t>[identité</w:t>
      </w:r>
      <w:r w:rsidR="00AC14F5">
        <w:rPr>
          <w:i/>
        </w:rPr>
        <w:t xml:space="preserve"> de l’avocat concerné</w:t>
      </w:r>
      <w:r w:rsidR="00AC14F5" w:rsidRPr="007B26A2">
        <w:rPr>
          <w:i/>
        </w:rPr>
        <w:t>]</w:t>
      </w:r>
      <w:r w:rsidR="00AC14F5" w:rsidRPr="007B26A2">
        <w:t xml:space="preserve">, avocat, en application de l'article </w:t>
      </w:r>
      <w:r w:rsidR="00AC14F5">
        <w:t>699 du Code de procédure civile</w:t>
      </w:r>
    </w:p>
    <w:p w14:paraId="01CC587E" w14:textId="77777777" w:rsidR="00A35526" w:rsidRDefault="00A35526" w:rsidP="00840074"/>
    <w:p w14:paraId="176B7E0B" w14:textId="77777777" w:rsidR="00AC14F5" w:rsidRDefault="0039097E" w:rsidP="00840074">
      <w:pPr>
        <w:pStyle w:val="Paragraphedeliste"/>
        <w:numPr>
          <w:ilvl w:val="0"/>
          <w:numId w:val="5"/>
        </w:numPr>
        <w:jc w:val="both"/>
      </w:pPr>
      <w:r w:rsidRPr="0039097E">
        <w:rPr>
          <w:b/>
        </w:rPr>
        <w:t>ORDONNER</w:t>
      </w:r>
      <w:r>
        <w:t>, vu l’urgence, l’exécution provisoire de l’ordonnance sur minute</w:t>
      </w:r>
    </w:p>
    <w:p w14:paraId="11CF1C2E" w14:textId="77777777" w:rsidR="00AE40AF" w:rsidRDefault="00AE40AF" w:rsidP="00840074"/>
    <w:p w14:paraId="5178D352" w14:textId="77777777" w:rsidR="00AE40AF" w:rsidRDefault="00AE40AF" w:rsidP="00840074"/>
    <w:p w14:paraId="234FDCFD" w14:textId="77777777" w:rsidR="00AE40AF" w:rsidRDefault="00AE40AF" w:rsidP="00840074"/>
    <w:p w14:paraId="49DD947A" w14:textId="77777777" w:rsidR="00AE40AF" w:rsidRDefault="00AE40AF" w:rsidP="007B458A"/>
    <w:p w14:paraId="5495D97F" w14:textId="77777777" w:rsidR="00AE40AF" w:rsidRDefault="00AE40AF" w:rsidP="007B458A"/>
    <w:p w14:paraId="13C5BA6D" w14:textId="77777777" w:rsidR="00D9272B" w:rsidRDefault="00D9272B" w:rsidP="007B458A"/>
    <w:p w14:paraId="238DA08C" w14:textId="77777777" w:rsidR="00D9272B" w:rsidRDefault="00D9272B" w:rsidP="007B458A"/>
    <w:p w14:paraId="0B54D023" w14:textId="77777777" w:rsidR="00D9272B" w:rsidRDefault="00D9272B" w:rsidP="007B458A"/>
    <w:p w14:paraId="73611259" w14:textId="1C487FC5" w:rsidR="00AE40AF" w:rsidRDefault="00AE40AF" w:rsidP="007B458A"/>
    <w:p w14:paraId="245A5D3E" w14:textId="39B7E199" w:rsidR="005E041B" w:rsidRDefault="005E041B" w:rsidP="007B458A"/>
    <w:p w14:paraId="5E568EC2" w14:textId="39AFA30F" w:rsidR="005E041B" w:rsidRDefault="005E041B" w:rsidP="007B458A"/>
    <w:p w14:paraId="220F5696" w14:textId="41796DB1" w:rsidR="005E041B" w:rsidRDefault="005E041B" w:rsidP="007B458A"/>
    <w:p w14:paraId="6A71F7CA" w14:textId="313BEE14" w:rsidR="005E041B" w:rsidRDefault="005E041B" w:rsidP="007B458A"/>
    <w:p w14:paraId="01CF0C73" w14:textId="77777777" w:rsidR="005E041B" w:rsidRDefault="005E041B" w:rsidP="007B458A"/>
    <w:p w14:paraId="6E09DA9D" w14:textId="77777777" w:rsidR="00AE40AF" w:rsidRDefault="00AE40AF" w:rsidP="007B458A"/>
    <w:p w14:paraId="0B14AF33" w14:textId="60F461A3" w:rsidR="007B458A" w:rsidRPr="00C82578" w:rsidRDefault="007B458A" w:rsidP="00C82578">
      <w:pPr>
        <w:jc w:val="center"/>
        <w:rPr>
          <w:b/>
        </w:rPr>
      </w:pPr>
      <w:r w:rsidRPr="00C82578">
        <w:rPr>
          <w:b/>
        </w:rPr>
        <w:t>SOUS TOUTES R</w:t>
      </w:r>
      <w:r w:rsidR="002B5975">
        <w:rPr>
          <w:b/>
        </w:rPr>
        <w:t>É</w:t>
      </w:r>
      <w:r w:rsidRPr="00C82578">
        <w:rPr>
          <w:b/>
        </w:rPr>
        <w:t xml:space="preserve">SERVES </w:t>
      </w:r>
      <w:r w:rsidR="00C82578">
        <w:rPr>
          <w:b/>
        </w:rPr>
        <w:t>ET CE AFIN QU'ILS N’EN IGNORENT</w:t>
      </w:r>
    </w:p>
    <w:p w14:paraId="3391FC3D" w14:textId="77777777" w:rsidR="007B458A" w:rsidRDefault="001174B9" w:rsidP="007B458A">
      <w:r>
        <w:br w:type="page"/>
      </w:r>
    </w:p>
    <w:p w14:paraId="0286794B" w14:textId="77777777" w:rsidR="00C82578" w:rsidRDefault="00C82578" w:rsidP="00C82578">
      <w:r>
        <w:rPr>
          <w:b/>
          <w:u w:val="single"/>
        </w:rPr>
        <w:lastRenderedPageBreak/>
        <w:t>Bordereau récapitulatif des pièces visées au soutien de la présente assignation :</w:t>
      </w:r>
    </w:p>
    <w:p w14:paraId="7BE7F082" w14:textId="77777777" w:rsidR="007B458A" w:rsidRPr="009E2475" w:rsidRDefault="007B458A" w:rsidP="007B458A"/>
    <w:p w14:paraId="0C02A943" w14:textId="77777777" w:rsidR="0069386E" w:rsidRPr="00976774" w:rsidRDefault="0069386E" w:rsidP="0069386E">
      <w:pPr>
        <w:numPr>
          <w:ilvl w:val="0"/>
          <w:numId w:val="6"/>
        </w:numPr>
        <w:tabs>
          <w:tab w:val="left" w:pos="567"/>
        </w:tabs>
      </w:pPr>
    </w:p>
    <w:p w14:paraId="5D242776" w14:textId="77777777" w:rsidR="001174B9" w:rsidRPr="00976774" w:rsidRDefault="001174B9" w:rsidP="002A4480">
      <w:pPr>
        <w:numPr>
          <w:ilvl w:val="0"/>
          <w:numId w:val="6"/>
        </w:numPr>
        <w:tabs>
          <w:tab w:val="left" w:pos="567"/>
        </w:tabs>
      </w:pPr>
    </w:p>
    <w:p w14:paraId="4F0AB594" w14:textId="77777777" w:rsidR="0069386E" w:rsidRPr="00976774" w:rsidRDefault="0069386E" w:rsidP="001174B9">
      <w:pPr>
        <w:numPr>
          <w:ilvl w:val="0"/>
          <w:numId w:val="6"/>
        </w:numPr>
        <w:tabs>
          <w:tab w:val="left" w:pos="567"/>
        </w:tabs>
      </w:pPr>
    </w:p>
    <w:sectPr w:rsidR="0069386E" w:rsidRPr="00976774" w:rsidSect="007B458A">
      <w:footerReference w:type="default" r:id="rId8"/>
      <w:headerReference w:type="first" r:id="rId9"/>
      <w:footerReference w:type="first" r:id="rId10"/>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86FA" w14:textId="77777777" w:rsidR="00722AA7" w:rsidRDefault="00722AA7">
      <w:r>
        <w:separator/>
      </w:r>
    </w:p>
  </w:endnote>
  <w:endnote w:type="continuationSeparator" w:id="0">
    <w:p w14:paraId="2A125440" w14:textId="77777777" w:rsidR="00722AA7" w:rsidRDefault="0072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83F0"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7C58AA">
      <w:rPr>
        <w:rStyle w:val="Numrodepage"/>
        <w:noProof/>
        <w:sz w:val="20"/>
      </w:rPr>
      <w:t>6</w:t>
    </w:r>
    <w:r w:rsidRPr="00DF562E">
      <w:rPr>
        <w:rStyle w:val="Numrodepage"/>
        <w:sz w:val="20"/>
      </w:rPr>
      <w:fldChar w:fldCharType="end"/>
    </w:r>
  </w:p>
  <w:p w14:paraId="5B17804D"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3E" w14:textId="77777777" w:rsidR="008D0A52" w:rsidRDefault="008D0A52">
    <w:pPr>
      <w:pStyle w:val="Pieddepage"/>
      <w:jc w:val="center"/>
    </w:pPr>
    <w:r>
      <w:fldChar w:fldCharType="begin"/>
    </w:r>
    <w:r>
      <w:instrText>PAGE   \* MERGEFORMAT</w:instrText>
    </w:r>
    <w:r>
      <w:fldChar w:fldCharType="separate"/>
    </w:r>
    <w:r w:rsidR="007C58AA">
      <w:rPr>
        <w:noProof/>
      </w:rPr>
      <w:t>1</w:t>
    </w:r>
    <w:r>
      <w:fldChar w:fldCharType="end"/>
    </w:r>
  </w:p>
  <w:p w14:paraId="063ECC6A"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DF9AC" w14:textId="77777777" w:rsidR="00722AA7" w:rsidRDefault="00722AA7">
      <w:r>
        <w:separator/>
      </w:r>
    </w:p>
  </w:footnote>
  <w:footnote w:type="continuationSeparator" w:id="0">
    <w:p w14:paraId="04C19917" w14:textId="77777777" w:rsidR="00722AA7" w:rsidRDefault="0072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9D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5081C"/>
    <w:multiLevelType w:val="hybridMultilevel"/>
    <w:tmpl w:val="06729B38"/>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0517C64"/>
    <w:multiLevelType w:val="hybridMultilevel"/>
    <w:tmpl w:val="BEB245D4"/>
    <w:lvl w:ilvl="0" w:tplc="E5A21BD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2D32D5"/>
    <w:multiLevelType w:val="multilevel"/>
    <w:tmpl w:val="A1D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C7A6F"/>
    <w:multiLevelType w:val="multilevel"/>
    <w:tmpl w:val="A27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4E7B13"/>
    <w:multiLevelType w:val="hybridMultilevel"/>
    <w:tmpl w:val="7EF606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F4723E8"/>
    <w:multiLevelType w:val="hybridMultilevel"/>
    <w:tmpl w:val="88E65F70"/>
    <w:lvl w:ilvl="0" w:tplc="C99AB5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F4D0B"/>
    <w:multiLevelType w:val="hybridMultilevel"/>
    <w:tmpl w:val="131440B6"/>
    <w:lvl w:ilvl="0" w:tplc="DC6E0BF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E351E4"/>
    <w:multiLevelType w:val="multilevel"/>
    <w:tmpl w:val="D43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474935"/>
    <w:multiLevelType w:val="hybridMultilevel"/>
    <w:tmpl w:val="82F68E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2"/>
  </w:num>
  <w:num w:numId="5">
    <w:abstractNumId w:val="2"/>
  </w:num>
  <w:num w:numId="6">
    <w:abstractNumId w:val="11"/>
  </w:num>
  <w:num w:numId="7">
    <w:abstractNumId w:val="19"/>
  </w:num>
  <w:num w:numId="8">
    <w:abstractNumId w:val="8"/>
  </w:num>
  <w:num w:numId="9">
    <w:abstractNumId w:val="15"/>
  </w:num>
  <w:num w:numId="10">
    <w:abstractNumId w:val="17"/>
  </w:num>
  <w:num w:numId="11">
    <w:abstractNumId w:val="7"/>
  </w:num>
  <w:num w:numId="12">
    <w:abstractNumId w:val="10"/>
  </w:num>
  <w:num w:numId="13">
    <w:abstractNumId w:val="14"/>
  </w:num>
  <w:num w:numId="14">
    <w:abstractNumId w:val="13"/>
  </w:num>
  <w:num w:numId="15">
    <w:abstractNumId w:val="6"/>
  </w:num>
  <w:num w:numId="16">
    <w:abstractNumId w:val="5"/>
  </w:num>
  <w:num w:numId="17">
    <w:abstractNumId w:val="20"/>
  </w:num>
  <w:num w:numId="18">
    <w:abstractNumId w:val="16"/>
  </w:num>
  <w:num w:numId="19">
    <w:abstractNumId w:val="1"/>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167A"/>
    <w:rsid w:val="00015F5A"/>
    <w:rsid w:val="0001715E"/>
    <w:rsid w:val="00034159"/>
    <w:rsid w:val="00045753"/>
    <w:rsid w:val="00054430"/>
    <w:rsid w:val="00067AD4"/>
    <w:rsid w:val="00080A5F"/>
    <w:rsid w:val="00090896"/>
    <w:rsid w:val="0009406A"/>
    <w:rsid w:val="000A515B"/>
    <w:rsid w:val="000B3102"/>
    <w:rsid w:val="000C650B"/>
    <w:rsid w:val="000E0C63"/>
    <w:rsid w:val="000E4D5A"/>
    <w:rsid w:val="000E584B"/>
    <w:rsid w:val="001012B5"/>
    <w:rsid w:val="001067AA"/>
    <w:rsid w:val="001174B9"/>
    <w:rsid w:val="001345B8"/>
    <w:rsid w:val="001361CD"/>
    <w:rsid w:val="001401DE"/>
    <w:rsid w:val="00172EF2"/>
    <w:rsid w:val="001B6B80"/>
    <w:rsid w:val="001B754C"/>
    <w:rsid w:val="001C134E"/>
    <w:rsid w:val="001C14D2"/>
    <w:rsid w:val="001C68E4"/>
    <w:rsid w:val="001D3C22"/>
    <w:rsid w:val="001D4A9A"/>
    <w:rsid w:val="001E1B19"/>
    <w:rsid w:val="001E38D5"/>
    <w:rsid w:val="001F0ACC"/>
    <w:rsid w:val="001F5B3D"/>
    <w:rsid w:val="001F637C"/>
    <w:rsid w:val="00202D4E"/>
    <w:rsid w:val="00210AB0"/>
    <w:rsid w:val="00211CE7"/>
    <w:rsid w:val="00226AB3"/>
    <w:rsid w:val="00242E55"/>
    <w:rsid w:val="00263BC7"/>
    <w:rsid w:val="00272090"/>
    <w:rsid w:val="0027272B"/>
    <w:rsid w:val="002762A5"/>
    <w:rsid w:val="00281B57"/>
    <w:rsid w:val="00283925"/>
    <w:rsid w:val="0028404C"/>
    <w:rsid w:val="00284B68"/>
    <w:rsid w:val="00285E17"/>
    <w:rsid w:val="00290A87"/>
    <w:rsid w:val="002A4480"/>
    <w:rsid w:val="002B0463"/>
    <w:rsid w:val="002B5975"/>
    <w:rsid w:val="002B6AE8"/>
    <w:rsid w:val="002E67E0"/>
    <w:rsid w:val="00306043"/>
    <w:rsid w:val="00315E9B"/>
    <w:rsid w:val="00320318"/>
    <w:rsid w:val="003316A2"/>
    <w:rsid w:val="00350620"/>
    <w:rsid w:val="00363F22"/>
    <w:rsid w:val="003671E8"/>
    <w:rsid w:val="00384D37"/>
    <w:rsid w:val="0039097E"/>
    <w:rsid w:val="003A2CF8"/>
    <w:rsid w:val="003A315C"/>
    <w:rsid w:val="003B1A43"/>
    <w:rsid w:val="003C1E95"/>
    <w:rsid w:val="003C5E7B"/>
    <w:rsid w:val="003D6B0C"/>
    <w:rsid w:val="003E1198"/>
    <w:rsid w:val="003E5F1F"/>
    <w:rsid w:val="003E7DFE"/>
    <w:rsid w:val="00410955"/>
    <w:rsid w:val="00433303"/>
    <w:rsid w:val="0044570C"/>
    <w:rsid w:val="00446E13"/>
    <w:rsid w:val="00453ADA"/>
    <w:rsid w:val="00463B00"/>
    <w:rsid w:val="00470DF8"/>
    <w:rsid w:val="004731E2"/>
    <w:rsid w:val="00486976"/>
    <w:rsid w:val="004940FA"/>
    <w:rsid w:val="00494930"/>
    <w:rsid w:val="004975DA"/>
    <w:rsid w:val="004A2A62"/>
    <w:rsid w:val="004A2E15"/>
    <w:rsid w:val="004B47FD"/>
    <w:rsid w:val="004B75CB"/>
    <w:rsid w:val="004E0FB5"/>
    <w:rsid w:val="004E69BA"/>
    <w:rsid w:val="004F6BA4"/>
    <w:rsid w:val="0050190D"/>
    <w:rsid w:val="00504E16"/>
    <w:rsid w:val="00506D40"/>
    <w:rsid w:val="005111D5"/>
    <w:rsid w:val="00522BA3"/>
    <w:rsid w:val="005261E4"/>
    <w:rsid w:val="00547AF5"/>
    <w:rsid w:val="0055778C"/>
    <w:rsid w:val="0056255D"/>
    <w:rsid w:val="00570C7E"/>
    <w:rsid w:val="00594C53"/>
    <w:rsid w:val="00595D07"/>
    <w:rsid w:val="005A0DB1"/>
    <w:rsid w:val="005E041B"/>
    <w:rsid w:val="005F2EBE"/>
    <w:rsid w:val="005F7BD6"/>
    <w:rsid w:val="0061372E"/>
    <w:rsid w:val="00613F73"/>
    <w:rsid w:val="00625D73"/>
    <w:rsid w:val="00640990"/>
    <w:rsid w:val="006514E3"/>
    <w:rsid w:val="00655758"/>
    <w:rsid w:val="006659DE"/>
    <w:rsid w:val="0069386E"/>
    <w:rsid w:val="006A3B51"/>
    <w:rsid w:val="006A48B3"/>
    <w:rsid w:val="006C062F"/>
    <w:rsid w:val="006C62BA"/>
    <w:rsid w:val="006C6D60"/>
    <w:rsid w:val="006D0D26"/>
    <w:rsid w:val="006D33DF"/>
    <w:rsid w:val="006D35AD"/>
    <w:rsid w:val="006E7DA5"/>
    <w:rsid w:val="006F50F4"/>
    <w:rsid w:val="006F7535"/>
    <w:rsid w:val="0071532A"/>
    <w:rsid w:val="00722AA7"/>
    <w:rsid w:val="0072477C"/>
    <w:rsid w:val="00727DE4"/>
    <w:rsid w:val="00730154"/>
    <w:rsid w:val="00737BA3"/>
    <w:rsid w:val="0074750E"/>
    <w:rsid w:val="00757269"/>
    <w:rsid w:val="00757DF1"/>
    <w:rsid w:val="00761936"/>
    <w:rsid w:val="00761FB2"/>
    <w:rsid w:val="00770BF7"/>
    <w:rsid w:val="00780FAB"/>
    <w:rsid w:val="00787171"/>
    <w:rsid w:val="00793ABE"/>
    <w:rsid w:val="00796D2F"/>
    <w:rsid w:val="007A6481"/>
    <w:rsid w:val="007A7AFA"/>
    <w:rsid w:val="007B458A"/>
    <w:rsid w:val="007B57FF"/>
    <w:rsid w:val="007C58AA"/>
    <w:rsid w:val="007C5FFC"/>
    <w:rsid w:val="007D06A9"/>
    <w:rsid w:val="007F35EA"/>
    <w:rsid w:val="008117A5"/>
    <w:rsid w:val="00814019"/>
    <w:rsid w:val="00814429"/>
    <w:rsid w:val="00817314"/>
    <w:rsid w:val="00823261"/>
    <w:rsid w:val="00826A42"/>
    <w:rsid w:val="00840074"/>
    <w:rsid w:val="00861B2C"/>
    <w:rsid w:val="00865B99"/>
    <w:rsid w:val="00866BDF"/>
    <w:rsid w:val="00873481"/>
    <w:rsid w:val="00887430"/>
    <w:rsid w:val="00897D0A"/>
    <w:rsid w:val="008A1E64"/>
    <w:rsid w:val="008A7017"/>
    <w:rsid w:val="008B50EA"/>
    <w:rsid w:val="008C2D04"/>
    <w:rsid w:val="008C3C9B"/>
    <w:rsid w:val="008D0A52"/>
    <w:rsid w:val="008D79DB"/>
    <w:rsid w:val="008E7599"/>
    <w:rsid w:val="008E7D22"/>
    <w:rsid w:val="008E7F58"/>
    <w:rsid w:val="008F36D6"/>
    <w:rsid w:val="008F5ABE"/>
    <w:rsid w:val="008F78F7"/>
    <w:rsid w:val="009004C2"/>
    <w:rsid w:val="009216ED"/>
    <w:rsid w:val="00941887"/>
    <w:rsid w:val="00945386"/>
    <w:rsid w:val="0095219D"/>
    <w:rsid w:val="00952A2B"/>
    <w:rsid w:val="00967512"/>
    <w:rsid w:val="009762BA"/>
    <w:rsid w:val="00976774"/>
    <w:rsid w:val="0098089C"/>
    <w:rsid w:val="00981855"/>
    <w:rsid w:val="00983941"/>
    <w:rsid w:val="009A017F"/>
    <w:rsid w:val="009B434B"/>
    <w:rsid w:val="009C3EFE"/>
    <w:rsid w:val="009C5145"/>
    <w:rsid w:val="009D10A4"/>
    <w:rsid w:val="009E2C2E"/>
    <w:rsid w:val="009E402B"/>
    <w:rsid w:val="009E58FA"/>
    <w:rsid w:val="009F65C1"/>
    <w:rsid w:val="009F670D"/>
    <w:rsid w:val="00A21703"/>
    <w:rsid w:val="00A35526"/>
    <w:rsid w:val="00A36FDE"/>
    <w:rsid w:val="00A46A10"/>
    <w:rsid w:val="00A46B0E"/>
    <w:rsid w:val="00A46D57"/>
    <w:rsid w:val="00A505F8"/>
    <w:rsid w:val="00A51BDF"/>
    <w:rsid w:val="00A55A7A"/>
    <w:rsid w:val="00A637A2"/>
    <w:rsid w:val="00A7544C"/>
    <w:rsid w:val="00A81D1B"/>
    <w:rsid w:val="00A85165"/>
    <w:rsid w:val="00A86739"/>
    <w:rsid w:val="00A97935"/>
    <w:rsid w:val="00AC14F5"/>
    <w:rsid w:val="00AD7AD7"/>
    <w:rsid w:val="00AE40AF"/>
    <w:rsid w:val="00AE57C2"/>
    <w:rsid w:val="00AF0331"/>
    <w:rsid w:val="00B126B4"/>
    <w:rsid w:val="00B2262C"/>
    <w:rsid w:val="00B2317E"/>
    <w:rsid w:val="00B35DB8"/>
    <w:rsid w:val="00B60309"/>
    <w:rsid w:val="00B603B8"/>
    <w:rsid w:val="00B62DF9"/>
    <w:rsid w:val="00B81214"/>
    <w:rsid w:val="00B81816"/>
    <w:rsid w:val="00B84CF7"/>
    <w:rsid w:val="00B8687C"/>
    <w:rsid w:val="00B933AD"/>
    <w:rsid w:val="00BC5C34"/>
    <w:rsid w:val="00BE7B86"/>
    <w:rsid w:val="00BF712B"/>
    <w:rsid w:val="00C0427B"/>
    <w:rsid w:val="00C07F48"/>
    <w:rsid w:val="00C16A24"/>
    <w:rsid w:val="00C25D0C"/>
    <w:rsid w:val="00C26FFC"/>
    <w:rsid w:val="00C34B50"/>
    <w:rsid w:val="00C35FDB"/>
    <w:rsid w:val="00C3657C"/>
    <w:rsid w:val="00C41E63"/>
    <w:rsid w:val="00C44031"/>
    <w:rsid w:val="00C47D8D"/>
    <w:rsid w:val="00C61E66"/>
    <w:rsid w:val="00C640F3"/>
    <w:rsid w:val="00C66F66"/>
    <w:rsid w:val="00C673DA"/>
    <w:rsid w:val="00C82578"/>
    <w:rsid w:val="00C94D6C"/>
    <w:rsid w:val="00CB1D1E"/>
    <w:rsid w:val="00CB2D98"/>
    <w:rsid w:val="00CB4015"/>
    <w:rsid w:val="00CB4269"/>
    <w:rsid w:val="00CB468D"/>
    <w:rsid w:val="00CC4D5C"/>
    <w:rsid w:val="00CC7ED6"/>
    <w:rsid w:val="00CE0EEA"/>
    <w:rsid w:val="00CF1898"/>
    <w:rsid w:val="00CF4CD8"/>
    <w:rsid w:val="00D01346"/>
    <w:rsid w:val="00D017A1"/>
    <w:rsid w:val="00D01AAA"/>
    <w:rsid w:val="00D13484"/>
    <w:rsid w:val="00D3314E"/>
    <w:rsid w:val="00D35C0F"/>
    <w:rsid w:val="00D35F86"/>
    <w:rsid w:val="00D42BD4"/>
    <w:rsid w:val="00D438A1"/>
    <w:rsid w:val="00D550E6"/>
    <w:rsid w:val="00D571E4"/>
    <w:rsid w:val="00D62FA3"/>
    <w:rsid w:val="00D66754"/>
    <w:rsid w:val="00D81F0D"/>
    <w:rsid w:val="00D9272B"/>
    <w:rsid w:val="00DA02F3"/>
    <w:rsid w:val="00DA3532"/>
    <w:rsid w:val="00DB05D9"/>
    <w:rsid w:val="00DB413A"/>
    <w:rsid w:val="00DD4408"/>
    <w:rsid w:val="00DE7397"/>
    <w:rsid w:val="00DF3F74"/>
    <w:rsid w:val="00DF562E"/>
    <w:rsid w:val="00DF718E"/>
    <w:rsid w:val="00E02978"/>
    <w:rsid w:val="00E11991"/>
    <w:rsid w:val="00E239A1"/>
    <w:rsid w:val="00E52906"/>
    <w:rsid w:val="00E54C5D"/>
    <w:rsid w:val="00E56E19"/>
    <w:rsid w:val="00E675C8"/>
    <w:rsid w:val="00EA7E30"/>
    <w:rsid w:val="00EB079A"/>
    <w:rsid w:val="00EC063C"/>
    <w:rsid w:val="00EC70EF"/>
    <w:rsid w:val="00ED1CCB"/>
    <w:rsid w:val="00EF314F"/>
    <w:rsid w:val="00F053EE"/>
    <w:rsid w:val="00F164DC"/>
    <w:rsid w:val="00F17D3F"/>
    <w:rsid w:val="00F20681"/>
    <w:rsid w:val="00F22BB7"/>
    <w:rsid w:val="00F242FA"/>
    <w:rsid w:val="00F35477"/>
    <w:rsid w:val="00F52010"/>
    <w:rsid w:val="00F520B1"/>
    <w:rsid w:val="00F64858"/>
    <w:rsid w:val="00F65A50"/>
    <w:rsid w:val="00F73401"/>
    <w:rsid w:val="00F7389D"/>
    <w:rsid w:val="00F92DB5"/>
    <w:rsid w:val="00F93A2B"/>
    <w:rsid w:val="00F96B56"/>
    <w:rsid w:val="00FA7FD6"/>
    <w:rsid w:val="00FB0AFB"/>
    <w:rsid w:val="00FB0D4B"/>
    <w:rsid w:val="00FB4698"/>
    <w:rsid w:val="00FC3827"/>
    <w:rsid w:val="00FC7DF9"/>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3AD4"/>
  <w15:docId w15:val="{40AD39C6-014C-4A90-AE69-094E48B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72"/>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172">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052E-5ECF-401A-916A-26E9593E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2185</Words>
  <Characters>12023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Aurélien Bamdé</cp:lastModifiedBy>
  <cp:revision>7</cp:revision>
  <cp:lastPrinted>2018-05-24T19:57:00Z</cp:lastPrinted>
  <dcterms:created xsi:type="dcterms:W3CDTF">2019-11-20T22:27:00Z</dcterms:created>
  <dcterms:modified xsi:type="dcterms:W3CDTF">2019-11-22T22:08:00Z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1556397652</vt:i4>
  </property>
  <property fmtid="{D5CDD505-2E9C-101B-9397-08002B2CF9AE}" pid="3" name="_NewReviewCycle">
    <vt:lpwstr/>
  </property>
  <property fmtid="{D5CDD505-2E9C-101B-9397-08002B2CF9AE}" pid="4" name="_EmailSubject">
    <vt:lpwstr>actes</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ReviewingToolsShownOnce">
    <vt:lpwstr/>
  </property>
</Properties>
</file>