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D4068B9" w14:textId="77777777" w:rsidR="00CC0719" w:rsidRPr="00EF5250" w:rsidRDefault="00CC0719" w:rsidP="00CC0719">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5AFE7246" w14:textId="77777777" w:rsidR="00CC0719" w:rsidRPr="00EF5250" w:rsidRDefault="00CC0719" w:rsidP="00CC0719">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PAR-DEVANT LE PRÉSIDENT PRÈS LE TRIBUNAL JUDICIAIRE DE […]</w:t>
      </w:r>
    </w:p>
    <w:p w14:paraId="6E72C503" w14:textId="77777777" w:rsidR="00CC0719" w:rsidRPr="00EF5250" w:rsidRDefault="00CC0719" w:rsidP="00CC0719">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43FCFF46" w14:textId="77777777" w:rsidR="00CC0719" w:rsidRPr="00EF5250" w:rsidRDefault="00CC0719" w:rsidP="00CC0719">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 xml:space="preserve">(Article 835, al. </w:t>
      </w:r>
      <w:r>
        <w:rPr>
          <w:i/>
          <w:iCs/>
          <w:sz w:val="28"/>
          <w:szCs w:val="28"/>
        </w:rPr>
        <w:t>2</w:t>
      </w:r>
      <w:r>
        <w:rPr>
          <w:i/>
          <w:iCs/>
          <w:sz w:val="28"/>
          <w:szCs w:val="28"/>
          <w:vertAlign w:val="superscript"/>
        </w:rPr>
        <w:t>d</w:t>
      </w:r>
      <w:r w:rsidRPr="00EF5250">
        <w:rPr>
          <w:i/>
          <w:iCs/>
          <w:sz w:val="28"/>
          <w:szCs w:val="28"/>
        </w:rPr>
        <w:t xml:space="preserve"> 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lastRenderedPageBreak/>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33D53AC6" w14:textId="77777777" w:rsidR="000C16AB"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r w:rsidR="00636DAF">
        <w:t xml:space="preserve"> </w:t>
      </w:r>
    </w:p>
    <w:p w14:paraId="2A0DBAFA" w14:textId="77777777" w:rsidR="000C16AB" w:rsidRDefault="000C16AB"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163C802B" w:rsidR="001D5BDC" w:rsidRPr="000C5F9A" w:rsidRDefault="00636DAF" w:rsidP="001D5BDC">
      <w:pPr>
        <w:pBdr>
          <w:top w:val="single" w:sz="4" w:space="1" w:color="auto"/>
          <w:left w:val="single" w:sz="4" w:space="1" w:color="auto"/>
          <w:bottom w:val="single" w:sz="4" w:space="1" w:color="auto"/>
          <w:right w:val="single" w:sz="4" w:space="1" w:color="auto"/>
        </w:pBdr>
        <w:shd w:val="clear" w:color="auto" w:fill="E7E6E6" w:themeFill="background2"/>
      </w:pPr>
      <w:r w:rsidRPr="00636DAF">
        <w:t>Toutefois, si l'assignation lui est délivrée dans un délai inférieur ou égal à quinze jours avant la date de l'audience, il peut constituer avocat jusqu'à l'audience.</w:t>
      </w:r>
    </w:p>
    <w:p w14:paraId="5E403855" w14:textId="42B6BA01" w:rsidR="001D5BDC"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70AA1A2" w14:textId="26163C87" w:rsidR="00BB0D2B" w:rsidRDefault="00BB0D2B" w:rsidP="001D5BDC">
      <w:pPr>
        <w:pBdr>
          <w:top w:val="single" w:sz="4" w:space="1" w:color="auto"/>
          <w:left w:val="single" w:sz="4" w:space="1" w:color="auto"/>
          <w:bottom w:val="single" w:sz="4" w:space="1" w:color="auto"/>
          <w:right w:val="single" w:sz="4" w:space="1" w:color="auto"/>
        </w:pBdr>
        <w:shd w:val="clear" w:color="auto" w:fill="E7E6E6" w:themeFill="background2"/>
      </w:pPr>
      <w:r w:rsidRPr="00BB0D2B">
        <w:t>Que l’État, les départements, les régions, les communes et les établissements publics peuvent se faire représenter ou assister par un fonctionnaire ou un agent de leur administration.</w:t>
      </w:r>
    </w:p>
    <w:p w14:paraId="7086F12D" w14:textId="77777777" w:rsidR="00BB0D2B" w:rsidRPr="000C5F9A" w:rsidRDefault="00BB0D2B"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lastRenderedPageBreak/>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3EE58789" w:rsidR="001D5BDC" w:rsidRDefault="001D5BDC" w:rsidP="001D5BDC">
      <w:pPr>
        <w:shd w:val="clear" w:color="auto" w:fill="FFFFFF" w:themeFill="background1"/>
        <w:rPr>
          <w:i/>
          <w:sz w:val="22"/>
          <w:szCs w:val="22"/>
        </w:rPr>
      </w:pPr>
    </w:p>
    <w:p w14:paraId="37D1C009" w14:textId="77777777" w:rsidR="00437CA2" w:rsidRDefault="00437CA2" w:rsidP="00437CA2">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04C0E181" w14:textId="77777777" w:rsidR="00437CA2" w:rsidRDefault="00437CA2" w:rsidP="00437CA2">
      <w:pPr>
        <w:shd w:val="clear" w:color="auto" w:fill="FFFFFF" w:themeFill="background1"/>
        <w:rPr>
          <w:iCs/>
          <w:sz w:val="22"/>
          <w:szCs w:val="22"/>
        </w:rPr>
      </w:pPr>
    </w:p>
    <w:p w14:paraId="7697C93B" w14:textId="77777777" w:rsidR="00437CA2" w:rsidRDefault="00437CA2" w:rsidP="00437CA2">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 w:val="22"/>
            <w:szCs w:val="22"/>
          </w:rPr>
          <w:t>l’article 76</w:t>
        </w:r>
      </w:hyperlink>
      <w:r>
        <w:rPr>
          <w:iCs/>
          <w:sz w:val="22"/>
          <w:szCs w:val="22"/>
        </w:rPr>
        <w:t xml:space="preserve"> du </w:t>
      </w:r>
      <w:hyperlink r:id="rId9" w:history="1">
        <w:r>
          <w:rPr>
            <w:rStyle w:val="Lienhypertexte"/>
            <w:iCs/>
            <w:sz w:val="22"/>
            <w:szCs w:val="22"/>
          </w:rPr>
          <w:t>décret n°55-1350 du 14 octobre 1955</w:t>
        </w:r>
      </w:hyperlink>
      <w:r>
        <w:rPr>
          <w:iCs/>
          <w:sz w:val="22"/>
          <w:szCs w:val="22"/>
        </w:rPr>
        <w:t>.</w:t>
      </w:r>
    </w:p>
    <w:p w14:paraId="380FE58E" w14:textId="77777777" w:rsidR="00437CA2" w:rsidRDefault="00437CA2" w:rsidP="00437CA2">
      <w:pPr>
        <w:shd w:val="clear" w:color="auto" w:fill="FFFFFF" w:themeFill="background1"/>
        <w:rPr>
          <w:iCs/>
          <w:sz w:val="22"/>
          <w:szCs w:val="22"/>
        </w:rPr>
      </w:pPr>
    </w:p>
    <w:p w14:paraId="54E63BA5" w14:textId="77777777" w:rsidR="00437CA2" w:rsidRDefault="00437CA2" w:rsidP="00437CA2">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10"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3F6D29F4" w14:textId="77777777" w:rsidR="001D5BDC" w:rsidRPr="000C5F9A" w:rsidRDefault="001D5BDC"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40F19D4E" w14:textId="77777777" w:rsidR="00CC0719" w:rsidRDefault="00CC0719" w:rsidP="00CC0719"/>
    <w:p w14:paraId="102C7E33" w14:textId="77777777" w:rsidR="00CC0719" w:rsidRPr="004A2A62" w:rsidRDefault="00CC0719" w:rsidP="00CC0719">
      <w:pPr>
        <w:pStyle w:val="Paragraphedeliste"/>
        <w:numPr>
          <w:ilvl w:val="0"/>
          <w:numId w:val="17"/>
        </w:numPr>
        <w:rPr>
          <w:b/>
          <w:u w:val="single"/>
        </w:rPr>
      </w:pPr>
      <w:r w:rsidRPr="004A2A62">
        <w:rPr>
          <w:b/>
          <w:u w:val="single"/>
        </w:rPr>
        <w:t xml:space="preserve">Sur </w:t>
      </w:r>
      <w:r>
        <w:rPr>
          <w:b/>
          <w:u w:val="single"/>
        </w:rPr>
        <w:t>la demande de provision</w:t>
      </w:r>
    </w:p>
    <w:p w14:paraId="15F21B3C" w14:textId="77777777" w:rsidR="00CC0719" w:rsidRDefault="00CC0719" w:rsidP="00CC0719"/>
    <w:p w14:paraId="040B82D3" w14:textId="77777777" w:rsidR="00CC0719" w:rsidRPr="00D81F0D" w:rsidRDefault="00CC0719" w:rsidP="00CC0719">
      <w:pPr>
        <w:pStyle w:val="Paragraphedeliste"/>
        <w:numPr>
          <w:ilvl w:val="0"/>
          <w:numId w:val="18"/>
        </w:numPr>
        <w:rPr>
          <w:b/>
          <w:u w:val="single"/>
        </w:rPr>
      </w:pPr>
      <w:r w:rsidRPr="00D81F0D">
        <w:rPr>
          <w:b/>
          <w:u w:val="single"/>
        </w:rPr>
        <w:t>En droit</w:t>
      </w:r>
    </w:p>
    <w:p w14:paraId="48A68AB4" w14:textId="77777777" w:rsidR="00CC0719" w:rsidRDefault="00CC0719" w:rsidP="00CC0719"/>
    <w:p w14:paraId="3824021E" w14:textId="77777777" w:rsidR="00CC0719" w:rsidRPr="004F4F93" w:rsidRDefault="00CC0719" w:rsidP="00CC0719">
      <w:r w:rsidRPr="004F4F93">
        <w:rPr>
          <w:u w:val="single"/>
        </w:rPr>
        <w:t>L’article 835, al. 2</w:t>
      </w:r>
      <w:r w:rsidRPr="004F4F93">
        <w:rPr>
          <w:u w:val="single"/>
          <w:vertAlign w:val="superscript"/>
        </w:rPr>
        <w:t>e</w:t>
      </w:r>
      <w:r>
        <w:t xml:space="preserve"> </w:t>
      </w:r>
      <w:r w:rsidRPr="004F4F93">
        <w:t>du CPC prévoit que « </w:t>
      </w:r>
      <w:r w:rsidRPr="004F4F93">
        <w:rPr>
          <w:i/>
          <w:iCs/>
        </w:rPr>
        <w:t>dans les cas où l’existence de l’obligation n’est pas sérieusement contestable, il peut accorder une provision au créancier</w:t>
      </w:r>
      <w:r w:rsidRPr="004F4F93">
        <w:t> »</w:t>
      </w:r>
    </w:p>
    <w:p w14:paraId="587213DC" w14:textId="77777777" w:rsidR="00CC0719" w:rsidRPr="004F4F93" w:rsidRDefault="00CC0719" w:rsidP="00CC0719"/>
    <w:p w14:paraId="2B70CC65" w14:textId="77777777" w:rsidR="00CC0719" w:rsidRPr="004F4F93" w:rsidRDefault="00CC0719" w:rsidP="00CC0719">
      <w:r w:rsidRPr="004F4F93">
        <w:t>Il ressort de cette disposition que, dans l’hypothèse où l’obligation dont se prévaut le demandeur n’est pas « </w:t>
      </w:r>
      <w:r w:rsidRPr="004F4F93">
        <w:rPr>
          <w:i/>
          <w:iCs/>
        </w:rPr>
        <w:t>sérieusement contestable</w:t>
      </w:r>
      <w:r w:rsidRPr="004F4F93">
        <w:t> », il peut solliciter du juge des référés l’octroi d’une provision.</w:t>
      </w:r>
    </w:p>
    <w:p w14:paraId="215E00A1" w14:textId="77777777" w:rsidR="00CC0719" w:rsidRPr="004F4F93" w:rsidRDefault="00CC0719" w:rsidP="00CC0719"/>
    <w:p w14:paraId="2E4AF456" w14:textId="77777777" w:rsidR="00CC0719" w:rsidRDefault="00CC0719" w:rsidP="00CC0719">
      <w:r>
        <w:t xml:space="preserve">Plusieurs règles encadrent la demande d’une provision fondée sur </w:t>
      </w:r>
      <w:r w:rsidRPr="00B57496">
        <w:rPr>
          <w:u w:val="single"/>
        </w:rPr>
        <w:t>l’article 8</w:t>
      </w:r>
      <w:r>
        <w:rPr>
          <w:u w:val="single"/>
        </w:rPr>
        <w:t>35</w:t>
      </w:r>
      <w:r w:rsidRPr="00B57496">
        <w:rPr>
          <w:u w:val="single"/>
        </w:rPr>
        <w:t>, al. 2</w:t>
      </w:r>
      <w:r w:rsidRPr="00B57496">
        <w:rPr>
          <w:u w:val="single"/>
          <w:vertAlign w:val="superscript"/>
        </w:rPr>
        <w:t>e</w:t>
      </w:r>
      <w:r>
        <w:t xml:space="preserve"> du CPC </w:t>
      </w:r>
    </w:p>
    <w:p w14:paraId="0C8C4489" w14:textId="77777777" w:rsidR="00CC0719" w:rsidRDefault="00CC0719" w:rsidP="00CC0719"/>
    <w:p w14:paraId="7C2E0592" w14:textId="77777777" w:rsidR="00CC0719" w:rsidRPr="004F4F93" w:rsidRDefault="00CC0719" w:rsidP="00CC0719">
      <w:pPr>
        <w:pStyle w:val="Paragraphedeliste"/>
        <w:numPr>
          <w:ilvl w:val="1"/>
          <w:numId w:val="20"/>
        </w:numPr>
        <w:rPr>
          <w:b/>
          <w:i/>
          <w:u w:val="single"/>
        </w:rPr>
      </w:pPr>
      <w:r w:rsidRPr="004F4F93">
        <w:rPr>
          <w:b/>
          <w:i/>
          <w:u w:val="single"/>
        </w:rPr>
        <w:t>L’indifférence d’établissement d’un cas d’urgence</w:t>
      </w:r>
    </w:p>
    <w:p w14:paraId="0C98AF06" w14:textId="77777777" w:rsidR="00CC0719" w:rsidRDefault="00CC0719" w:rsidP="00CC0719"/>
    <w:p w14:paraId="587F2BC1" w14:textId="77777777" w:rsidR="00CC0719" w:rsidRDefault="00CC0719" w:rsidP="00CC0719">
      <w:r>
        <w:t xml:space="preserve">Lorsque le Juge des référés est saisi sur le fondement de </w:t>
      </w:r>
      <w:r w:rsidRPr="004F4F93">
        <w:rPr>
          <w:u w:val="single"/>
        </w:rPr>
        <w:t>l’article 835, al. 2</w:t>
      </w:r>
      <w:r w:rsidRPr="004F4F93">
        <w:rPr>
          <w:u w:val="single"/>
          <w:vertAlign w:val="superscript"/>
        </w:rPr>
        <w:t>e</w:t>
      </w:r>
      <w:r>
        <w:t xml:space="preserve"> du CPC, la Cour de cassation a précisé qu’il n’était pas nécessaire pour le demandeur d’établir l’existence d’un cas d’urgence, comme exigé lorsque la demande est fondée sur </w:t>
      </w:r>
      <w:r w:rsidRPr="004F4F93">
        <w:rPr>
          <w:u w:val="single"/>
        </w:rPr>
        <w:t>l’article 834</w:t>
      </w:r>
      <w:r>
        <w:t xml:space="preserve"> du CPC.</w:t>
      </w:r>
    </w:p>
    <w:p w14:paraId="21BE7C42" w14:textId="77777777" w:rsidR="00CC0719" w:rsidRDefault="00CC0719" w:rsidP="00CC0719"/>
    <w:p w14:paraId="23B1AE18" w14:textId="77777777" w:rsidR="00CC0719" w:rsidRDefault="00CC0719" w:rsidP="00CC0719">
      <w:r>
        <w:t>Dans un arrêt du 25 mars 2003, la première chambre civile a jugé en ce sens que « </w:t>
      </w:r>
      <w:r w:rsidRPr="004F4F93">
        <w:rPr>
          <w:i/>
          <w:iCs/>
        </w:rPr>
        <w:t>la faculté accordée au juge d’allouer une provision au créancier n’est pas subordonnée à la constatation de l’urgence</w:t>
      </w:r>
      <w:r>
        <w:t> » (</w:t>
      </w:r>
      <w:r w:rsidRPr="004F4F93">
        <w:rPr>
          <w:i/>
          <w:iCs/>
          <w:u w:val="single"/>
        </w:rPr>
        <w:t>Cass. 1ère civ., 25 mars 2003, n° 00-13471</w:t>
      </w:r>
      <w:r>
        <w:t>)</w:t>
      </w:r>
    </w:p>
    <w:p w14:paraId="72709872" w14:textId="77777777" w:rsidR="00CC0719" w:rsidRDefault="00CC0719" w:rsidP="00CC0719"/>
    <w:p w14:paraId="6495436D" w14:textId="77777777" w:rsidR="00CC0719" w:rsidRDefault="00CC0719" w:rsidP="00CC0719">
      <w:r>
        <w:t>Aussi, est-ce sur cet élément essentiel que le référé d’urgence et le référé provision se distinguent. Tandis que pour l’un l’urgence est indifférente, pour l’autre elle est une condition essentielle.</w:t>
      </w:r>
    </w:p>
    <w:p w14:paraId="4D4889BC" w14:textId="77777777" w:rsidR="00CC0719" w:rsidRDefault="00CC0719" w:rsidP="00CC0719"/>
    <w:p w14:paraId="72D8C2AB" w14:textId="77777777" w:rsidR="00CC0719" w:rsidRDefault="00CC0719" w:rsidP="00CC0719">
      <w:r>
        <w:t>Ils se rejoignent néanmoins sur un point : l’exigence d’absence de contestation sérieuse.</w:t>
      </w:r>
    </w:p>
    <w:p w14:paraId="00B0FE01" w14:textId="77777777" w:rsidR="00CC0719" w:rsidRDefault="00CC0719" w:rsidP="00CC0719"/>
    <w:p w14:paraId="210D24C9" w14:textId="77777777" w:rsidR="00CC0719" w:rsidRPr="004F4F93" w:rsidRDefault="00CC0719" w:rsidP="00CC0719">
      <w:pPr>
        <w:pStyle w:val="Paragraphedeliste"/>
        <w:numPr>
          <w:ilvl w:val="1"/>
          <w:numId w:val="20"/>
        </w:numPr>
        <w:rPr>
          <w:b/>
          <w:i/>
          <w:u w:val="single"/>
        </w:rPr>
      </w:pPr>
      <w:r w:rsidRPr="004F4F93">
        <w:rPr>
          <w:b/>
          <w:i/>
          <w:u w:val="single"/>
        </w:rPr>
        <w:t>L’exigence d’absence d’obligation sérieusement contestable</w:t>
      </w:r>
    </w:p>
    <w:p w14:paraId="1049043F" w14:textId="77777777" w:rsidR="00CC0719" w:rsidRDefault="00CC0719" w:rsidP="00CC0719"/>
    <w:p w14:paraId="5C349FF7" w14:textId="77777777" w:rsidR="00CC0719" w:rsidRDefault="00CC0719" w:rsidP="00CC0719">
      <w:r w:rsidRPr="005B7E02">
        <w:rPr>
          <w:u w:val="single"/>
        </w:rPr>
        <w:t>L’article 8</w:t>
      </w:r>
      <w:r>
        <w:rPr>
          <w:u w:val="single"/>
        </w:rPr>
        <w:t>35</w:t>
      </w:r>
      <w:r w:rsidRPr="005B7E02">
        <w:rPr>
          <w:u w:val="single"/>
        </w:rPr>
        <w:t>, al. 2e</w:t>
      </w:r>
      <w:r>
        <w:t xml:space="preserve"> du CPC subordonne la demande d’une provision à l’absence d’obligation sérieusement contestable.</w:t>
      </w:r>
    </w:p>
    <w:p w14:paraId="69E9BC54" w14:textId="77777777" w:rsidR="00CC0719" w:rsidRDefault="00CC0719" w:rsidP="00CC0719"/>
    <w:p w14:paraId="46EAD2C2" w14:textId="77777777" w:rsidR="00CC0719" w:rsidRDefault="00CC0719" w:rsidP="00CC0719">
      <w:r>
        <w:lastRenderedPageBreak/>
        <w:t>La question qui alors se pose est de savoir ce que l’on doit entendre par « </w:t>
      </w:r>
      <w:r w:rsidRPr="005B7E02">
        <w:rPr>
          <w:i/>
        </w:rPr>
        <w:t>obligation sérieusement contestable</w:t>
      </w:r>
      <w:r>
        <w:t> ».</w:t>
      </w:r>
    </w:p>
    <w:p w14:paraId="39A43A10" w14:textId="77777777" w:rsidR="00CC0719" w:rsidRDefault="00CC0719" w:rsidP="00CC0719"/>
    <w:p w14:paraId="6C544CA1" w14:textId="77777777" w:rsidR="00CC0719" w:rsidRDefault="00CC0719" w:rsidP="00CC0719">
      <w:r>
        <w:t xml:space="preserve">À la vérité, cette formule se rapproche très étroitement des termes de </w:t>
      </w:r>
      <w:r w:rsidRPr="005B7E02">
        <w:rPr>
          <w:u w:val="single"/>
        </w:rPr>
        <w:t>l’article 8</w:t>
      </w:r>
      <w:r>
        <w:rPr>
          <w:u w:val="single"/>
        </w:rPr>
        <w:t>34</w:t>
      </w:r>
      <w:r>
        <w:t xml:space="preserve"> du CPC qui autorise à solliciter du Juge des référés « </w:t>
      </w:r>
      <w:r w:rsidRPr="005B7E02">
        <w:rPr>
          <w:i/>
        </w:rPr>
        <w:t>toutes les mesures qui ne se heurtent à aucune contestation sérieuse</w:t>
      </w:r>
      <w:r>
        <w:t> ».</w:t>
      </w:r>
    </w:p>
    <w:p w14:paraId="790CAE00" w14:textId="77777777" w:rsidR="00CC0719" w:rsidRDefault="00CC0719" w:rsidP="00CC0719"/>
    <w:p w14:paraId="767C3D64" w14:textId="77777777" w:rsidR="00CC0719" w:rsidRDefault="00CC0719" w:rsidP="00CC0719">
      <w:r>
        <w:t>Autant dire que les deux notions se confondent. Elles peuvent donc être envisagées de la même manière.</w:t>
      </w:r>
    </w:p>
    <w:p w14:paraId="174C2E3A" w14:textId="77777777" w:rsidR="00CC0719" w:rsidRDefault="00CC0719" w:rsidP="00CC0719"/>
    <w:p w14:paraId="60961526" w14:textId="77777777" w:rsidR="00CC0719" w:rsidRDefault="00CC0719" w:rsidP="00CC0719">
      <w:r>
        <w:t>L’existence d’une obligation une obligation sérieusement contestable doit se comprendre comme l’interdiction pour le juge de prononcer une mesure qui supposerait qu’il tranche une question au fond.</w:t>
      </w:r>
    </w:p>
    <w:p w14:paraId="78B647D7" w14:textId="77777777" w:rsidR="00CC0719" w:rsidRDefault="00CC0719" w:rsidP="00CC0719"/>
    <w:p w14:paraId="03EEF8AC" w14:textId="77777777" w:rsidR="00CC0719" w:rsidRDefault="00CC0719" w:rsidP="00CC0719">
      <w:r>
        <w:t>En d’autres termes le prononcé de la mesure sollicité ne doit, en aucun cas, préjudicier au principal.</w:t>
      </w:r>
    </w:p>
    <w:p w14:paraId="01C691D0" w14:textId="77777777" w:rsidR="00CC0719" w:rsidRDefault="00CC0719" w:rsidP="00CC0719"/>
    <w:p w14:paraId="39D49C4C" w14:textId="77777777" w:rsidR="00CC0719" w:rsidRDefault="00CC0719" w:rsidP="00CC0719">
      <w:r>
        <w:t>La contestation sérieuse s’oppose ainsi à ce qui est manifeste et qui relève de l’évidence. À cet égard, la contestation sera qualifiée de sérieuse toutes les fois qu’il s’agira :</w:t>
      </w:r>
    </w:p>
    <w:p w14:paraId="2C7CF13F" w14:textId="77777777" w:rsidR="00CC0719" w:rsidRDefault="00CC0719" w:rsidP="00CC0719"/>
    <w:p w14:paraId="503FBC00" w14:textId="77777777" w:rsidR="00CC0719" w:rsidRDefault="00CC0719" w:rsidP="00CC0719">
      <w:pPr>
        <w:pStyle w:val="Paragraphedeliste"/>
        <w:numPr>
          <w:ilvl w:val="0"/>
          <w:numId w:val="9"/>
        </w:numPr>
      </w:pPr>
      <w:r>
        <w:t>Soit de trancher une question relative au statut des personnes</w:t>
      </w:r>
    </w:p>
    <w:p w14:paraId="381C3C18" w14:textId="77777777" w:rsidR="00CC0719" w:rsidRDefault="00CC0719" w:rsidP="00CC0719">
      <w:pPr>
        <w:pStyle w:val="Paragraphedeliste"/>
        <w:numPr>
          <w:ilvl w:val="0"/>
          <w:numId w:val="9"/>
        </w:numPr>
      </w:pPr>
      <w:r>
        <w:t>Soit de se prononcer sur le bien-fondé d’une action en responsabilité</w:t>
      </w:r>
    </w:p>
    <w:p w14:paraId="2E3A345E" w14:textId="77777777" w:rsidR="00CC0719" w:rsidRDefault="00CC0719" w:rsidP="00CC0719">
      <w:pPr>
        <w:pStyle w:val="Paragraphedeliste"/>
        <w:numPr>
          <w:ilvl w:val="0"/>
          <w:numId w:val="9"/>
        </w:numPr>
      </w:pPr>
      <w:r>
        <w:t>Soit d’interpréter ou d’apprécier la validité un acte juridique</w:t>
      </w:r>
    </w:p>
    <w:p w14:paraId="09F7D737" w14:textId="77777777" w:rsidR="00CC0719" w:rsidRDefault="00CC0719" w:rsidP="00CC0719"/>
    <w:p w14:paraId="0407FD06" w14:textId="77777777" w:rsidR="00CC0719" w:rsidRDefault="00CC0719" w:rsidP="00CC0719">
      <w:r>
        <w:t>Lorsque l’absence d’obligation sérieusement contestable est établie, le juge intervient dans sa fonction d’anticipation, en ce sens qu’il va faire produire à la règle de droit substantiel objet du litige des effets de droit. D’où la faculté dont il dispose d’allouer une provision, en prévision du jugement à intervenir.</w:t>
      </w:r>
    </w:p>
    <w:p w14:paraId="418290D1" w14:textId="77777777" w:rsidR="00CC0719" w:rsidRDefault="00CC0719" w:rsidP="00CC0719"/>
    <w:p w14:paraId="48FA8043" w14:textId="77777777" w:rsidR="00CC0719" w:rsidRDefault="00CC0719" w:rsidP="00CC0719">
      <w:r>
        <w:t xml:space="preserve">Aussi lorsque l’obligation invoquée sera sérieusement contestable, le pouvoir du Juge des référés sera cantonné à l’adoption de mesures conservatoires. Il ne pourra, dans ces conditions, être saisi, soit sur le fondement de </w:t>
      </w:r>
      <w:r w:rsidRPr="005B7E02">
        <w:rPr>
          <w:u w:val="single"/>
        </w:rPr>
        <w:t>l’article 8</w:t>
      </w:r>
      <w:r>
        <w:rPr>
          <w:u w:val="single"/>
        </w:rPr>
        <w:t>34</w:t>
      </w:r>
      <w:r w:rsidRPr="005B7E02">
        <w:rPr>
          <w:u w:val="single"/>
        </w:rPr>
        <w:t xml:space="preserve"> du CPC</w:t>
      </w:r>
      <w:r>
        <w:t xml:space="preserve">, soit sur le fondement de </w:t>
      </w:r>
      <w:r w:rsidRPr="004F4F93">
        <w:rPr>
          <w:u w:val="single"/>
        </w:rPr>
        <w:t>l’article 835, al. 1</w:t>
      </w:r>
      <w:r w:rsidRPr="004F4F93">
        <w:rPr>
          <w:u w:val="single"/>
          <w:vertAlign w:val="superscript"/>
        </w:rPr>
        <w:t>er</w:t>
      </w:r>
      <w:r>
        <w:t>.</w:t>
      </w:r>
    </w:p>
    <w:p w14:paraId="4D17581D" w14:textId="77777777" w:rsidR="00CC0719" w:rsidRDefault="00CC0719" w:rsidP="00CC0719"/>
    <w:p w14:paraId="139C3F35" w14:textId="77777777" w:rsidR="00CC0719" w:rsidRPr="00AD5CC8" w:rsidRDefault="00CC0719" w:rsidP="00CC0719">
      <w:pPr>
        <w:pStyle w:val="Paragraphedeliste"/>
        <w:numPr>
          <w:ilvl w:val="1"/>
          <w:numId w:val="20"/>
        </w:numPr>
        <w:rPr>
          <w:b/>
          <w:i/>
          <w:u w:val="single"/>
        </w:rPr>
      </w:pPr>
      <w:r w:rsidRPr="00AD5CC8">
        <w:rPr>
          <w:b/>
          <w:i/>
          <w:u w:val="single"/>
        </w:rPr>
        <w:t>La demande d’octroi d’une provision</w:t>
      </w:r>
    </w:p>
    <w:p w14:paraId="6C319298" w14:textId="77777777" w:rsidR="00CC0719" w:rsidRDefault="00CC0719" w:rsidP="00CC0719"/>
    <w:p w14:paraId="44D1AFDA" w14:textId="77777777" w:rsidR="00CC0719" w:rsidRDefault="00CC0719" w:rsidP="00CC0719">
      <w:r>
        <w:t>En cas d’obligation non sérieusement contestable, une provision peut être accordée : le demandeur peut donc solliciter l’octroi d’une somme provisionnelle, et non d’une somme à titre de dommages-intérêts ou au titre d’une créance contractuelle.</w:t>
      </w:r>
    </w:p>
    <w:p w14:paraId="3B5427EB" w14:textId="77777777" w:rsidR="00CC0719" w:rsidRDefault="00CC0719" w:rsidP="00CC0719"/>
    <w:p w14:paraId="268C4787" w14:textId="77777777" w:rsidR="00CC0719" w:rsidRDefault="00CC0719" w:rsidP="00CC0719">
      <w:r>
        <w:t>Dans le cas contraire, la demande pourrait être rejetée au motif qu’elle ne relève pas du pouvoir du juge des référés qui pourrait considérer « </w:t>
      </w:r>
      <w:r w:rsidRPr="005B7E02">
        <w:rPr>
          <w:i/>
        </w:rPr>
        <w:t>n’y avoir lieu à référé sur la demande d’indemnisation</w:t>
      </w:r>
      <w:r>
        <w:t> ».</w:t>
      </w:r>
    </w:p>
    <w:p w14:paraId="6EA0C1C2" w14:textId="77777777" w:rsidR="00CC0719" w:rsidRDefault="00CC0719" w:rsidP="00CC0719"/>
    <w:p w14:paraId="283626C4" w14:textId="77777777" w:rsidR="00CC0719" w:rsidRDefault="00CC0719" w:rsidP="00CC0719">
      <w:r>
        <w:t>S’il est investi d’un pouvoir d’anticipation, cela ne lui permet, pour autant, pas de statuer au principal.</w:t>
      </w:r>
    </w:p>
    <w:p w14:paraId="4079E746" w14:textId="77777777" w:rsidR="00CC0719" w:rsidRDefault="00CC0719" w:rsidP="00CC0719"/>
    <w:p w14:paraId="1FAA3981" w14:textId="77777777" w:rsidR="00CC0719" w:rsidRDefault="00CC0719" w:rsidP="00CC0719">
      <w:r>
        <w:t>Dès lors qu’est démontrée l’absence d’obligation sérieusement contestable, le Juge des référés dispose d’un pouvoir souverain pour déterminer le montant de la provision à allouer au demandeur (</w:t>
      </w:r>
      <w:r w:rsidRPr="005B7E02">
        <w:rPr>
          <w:i/>
          <w:u w:val="single"/>
        </w:rPr>
        <w:t>Cass. com., 20 nov. 2007, n° 06-20669</w:t>
      </w:r>
      <w:r>
        <w:t>).</w:t>
      </w:r>
    </w:p>
    <w:p w14:paraId="606CD1DE" w14:textId="77777777" w:rsidR="00CC0719" w:rsidRDefault="00CC0719" w:rsidP="00CC0719"/>
    <w:p w14:paraId="49BC20D7" w14:textId="77777777" w:rsidR="00CC0719" w:rsidRDefault="00CC0719" w:rsidP="00CC0719">
      <w:r>
        <w:t>Aussi, rien ne s’oppose à ce que le Juge des référés alloue une provision une somme correspondant à l’intégralité de la créance qui sera invoquée au principal.</w:t>
      </w:r>
    </w:p>
    <w:p w14:paraId="5144C739" w14:textId="77777777" w:rsidR="00CC0719" w:rsidRDefault="00CC0719" w:rsidP="00CC0719"/>
    <w:p w14:paraId="569BBDDB" w14:textId="77777777" w:rsidR="00CC0719" w:rsidRDefault="00CC0719" w:rsidP="00CC0719">
      <w:r>
        <w:t xml:space="preserve">Dans un arrêt du 20 janvier 1981, la Cour de cassation a jugé en ce sens que « </w:t>
      </w:r>
      <w:r w:rsidRPr="005B7E02">
        <w:rPr>
          <w:i/>
        </w:rPr>
        <w:t xml:space="preserve">le montant de la provision n’avait d’autre limite que le montant non sérieusement contestable de la dette alléguée </w:t>
      </w:r>
      <w:r>
        <w:t>» (</w:t>
      </w:r>
      <w:r w:rsidRPr="005B7E02">
        <w:rPr>
          <w:i/>
          <w:u w:val="single"/>
        </w:rPr>
        <w:t>Cass. com., 20 janv. 1981</w:t>
      </w:r>
      <w:r>
        <w:t>).</w:t>
      </w:r>
    </w:p>
    <w:p w14:paraId="2FCF66D5" w14:textId="77777777" w:rsidR="00CC0719" w:rsidRDefault="00CC0719" w:rsidP="00CC0719"/>
    <w:p w14:paraId="42A8BEEA" w14:textId="77777777" w:rsidR="00CC0719" w:rsidRDefault="00CC0719" w:rsidP="00CC0719">
      <w:r>
        <w:t>Dans l’hypothèse où l’obligation invoquée serait partiellement contestable, le juge pourra allouer une provision pour la partie non sérieusement contestable.</w:t>
      </w:r>
    </w:p>
    <w:p w14:paraId="5EB0E010" w14:textId="77777777" w:rsidR="00CC0719" w:rsidRDefault="00CC0719" w:rsidP="00CC0719"/>
    <w:p w14:paraId="4290A379" w14:textId="77777777" w:rsidR="00CC0719" w:rsidRDefault="00CC0719" w:rsidP="00CC0719"/>
    <w:p w14:paraId="41DC34BF" w14:textId="77777777" w:rsidR="00CC0719" w:rsidRPr="00B126B4" w:rsidRDefault="00CC0719" w:rsidP="00CC0719">
      <w:pPr>
        <w:pStyle w:val="Paragraphedeliste"/>
        <w:numPr>
          <w:ilvl w:val="0"/>
          <w:numId w:val="18"/>
        </w:numPr>
        <w:rPr>
          <w:b/>
          <w:u w:val="single"/>
        </w:rPr>
      </w:pPr>
      <w:r w:rsidRPr="00B126B4">
        <w:rPr>
          <w:b/>
          <w:u w:val="single"/>
        </w:rPr>
        <w:t>En l’espèce</w:t>
      </w:r>
    </w:p>
    <w:p w14:paraId="37E04A6B" w14:textId="77777777" w:rsidR="00CC0719" w:rsidRDefault="00CC0719" w:rsidP="00CC0719"/>
    <w:p w14:paraId="3293CC34" w14:textId="77777777" w:rsidR="00CC0719" w:rsidRDefault="00CC0719" w:rsidP="00CC0719"/>
    <w:p w14:paraId="6B0DBEDB" w14:textId="77777777" w:rsidR="00CC0719" w:rsidRPr="00D81F0D" w:rsidRDefault="00CC0719" w:rsidP="00CC0719">
      <w:pPr>
        <w:jc w:val="center"/>
        <w:rPr>
          <w:i/>
        </w:rPr>
      </w:pPr>
      <w:r w:rsidRPr="00D81F0D">
        <w:rPr>
          <w:i/>
        </w:rPr>
        <w:t>[…]</w:t>
      </w:r>
    </w:p>
    <w:p w14:paraId="095FBAD8" w14:textId="77777777" w:rsidR="00CC0719" w:rsidRDefault="00CC0719" w:rsidP="00CC0719"/>
    <w:p w14:paraId="388F9782" w14:textId="77777777" w:rsidR="00CC0719" w:rsidRDefault="00CC0719" w:rsidP="00CC0719"/>
    <w:p w14:paraId="77B4220D" w14:textId="77777777" w:rsidR="00CC0719" w:rsidRDefault="00CC0719" w:rsidP="00CC0719">
      <w:r>
        <w:sym w:font="Wingdings" w:char="F0E8"/>
      </w:r>
      <w:r w:rsidRPr="004A2A62">
        <w:rPr>
          <w:b/>
          <w:u w:val="single"/>
        </w:rPr>
        <w:t>En conséquence,</w:t>
      </w:r>
      <w:r>
        <w:t xml:space="preserve"> en l’absence d’obligation sérieusement contestable, il est demandé au Président du Tribunal de céans de condamner </w:t>
      </w:r>
      <w:r w:rsidRPr="003B06BA">
        <w:rPr>
          <w:i/>
        </w:rPr>
        <w:t xml:space="preserve">[nom </w:t>
      </w:r>
      <w:r>
        <w:rPr>
          <w:i/>
        </w:rPr>
        <w:t>de l’adversaire</w:t>
      </w:r>
      <w:r w:rsidRPr="003B06BA">
        <w:rPr>
          <w:i/>
        </w:rPr>
        <w:t>]</w:t>
      </w:r>
      <w:r>
        <w:t xml:space="preserve"> à verser, à titre de provision, la somme de </w:t>
      </w:r>
      <w:r w:rsidRPr="00B13D79">
        <w:rPr>
          <w:i/>
        </w:rPr>
        <w:t>[montant de la provision]</w:t>
      </w:r>
      <w:r>
        <w:t xml:space="preserve"> à </w:t>
      </w:r>
      <w:r w:rsidRPr="00994F55">
        <w:rPr>
          <w:i/>
        </w:rPr>
        <w:t>[nom du demandeur]</w:t>
      </w:r>
      <w:r>
        <w:t>.</w:t>
      </w:r>
    </w:p>
    <w:p w14:paraId="548B4608" w14:textId="77777777" w:rsidR="00CC0719" w:rsidRDefault="00CC0719" w:rsidP="00CC0719"/>
    <w:p w14:paraId="7E0A7DBD" w14:textId="77777777" w:rsidR="00CC0719" w:rsidRDefault="00CC0719" w:rsidP="00CC0719"/>
    <w:p w14:paraId="7386BDE2" w14:textId="77777777" w:rsidR="00CC0719" w:rsidRPr="004A2A62" w:rsidRDefault="00CC0719" w:rsidP="00CC0719">
      <w:pPr>
        <w:pStyle w:val="Paragraphedeliste"/>
        <w:numPr>
          <w:ilvl w:val="0"/>
          <w:numId w:val="17"/>
        </w:numPr>
        <w:rPr>
          <w:b/>
        </w:rPr>
      </w:pPr>
      <w:r w:rsidRPr="004A2A62">
        <w:rPr>
          <w:b/>
          <w:u w:val="single"/>
        </w:rPr>
        <w:t>Sur les frais irrépétibles et les dépens</w:t>
      </w:r>
    </w:p>
    <w:p w14:paraId="132F7B9E" w14:textId="77777777" w:rsidR="00CC0719" w:rsidRDefault="00CC0719" w:rsidP="00CC0719"/>
    <w:p w14:paraId="1FA62143" w14:textId="77777777" w:rsidR="00CC0719" w:rsidRDefault="00CC0719" w:rsidP="00CC0719">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4356B80B" w14:textId="77777777" w:rsidR="00CC0719" w:rsidRDefault="00CC0719" w:rsidP="00CC0719"/>
    <w:p w14:paraId="70DF5A61" w14:textId="77777777" w:rsidR="00CC0719" w:rsidRDefault="00CC0719" w:rsidP="00CC0719">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69F78EC3" w14:textId="77777777" w:rsidR="009A07C5" w:rsidRPr="00A34BB2" w:rsidRDefault="009A07C5" w:rsidP="009A07C5">
      <w:pPr>
        <w:rPr>
          <w:i/>
        </w:rPr>
      </w:pPr>
      <w:r w:rsidRPr="00A34BB2">
        <w:rPr>
          <w:i/>
        </w:rPr>
        <w:t>Vu l’article 8</w:t>
      </w:r>
      <w:r>
        <w:rPr>
          <w:i/>
        </w:rPr>
        <w:t>35</w:t>
      </w:r>
      <w:r w:rsidRPr="00A34BB2">
        <w:rPr>
          <w:i/>
        </w:rPr>
        <w:t xml:space="preserve">, al. </w:t>
      </w:r>
      <w:r>
        <w:rPr>
          <w:i/>
        </w:rPr>
        <w:t>2</w:t>
      </w:r>
      <w:r>
        <w:rPr>
          <w:i/>
          <w:vertAlign w:val="superscript"/>
        </w:rPr>
        <w:t>d</w:t>
      </w:r>
      <w:r w:rsidRPr="00A34BB2">
        <w:rPr>
          <w:i/>
        </w:rPr>
        <w:t xml:space="preserve"> du Code de procédure civile</w:t>
      </w:r>
    </w:p>
    <w:p w14:paraId="592CAF59" w14:textId="77777777" w:rsidR="009A07C5" w:rsidRPr="00A34BB2" w:rsidRDefault="009A07C5" w:rsidP="009A07C5">
      <w:pPr>
        <w:rPr>
          <w:i/>
        </w:rPr>
      </w:pPr>
      <w:r w:rsidRPr="00A34BB2">
        <w:rPr>
          <w:i/>
        </w:rPr>
        <w:t>Vu la jurisprudence</w:t>
      </w:r>
    </w:p>
    <w:p w14:paraId="224FC160" w14:textId="77777777" w:rsidR="009A07C5" w:rsidRPr="00A34BB2" w:rsidRDefault="009A07C5" w:rsidP="009A07C5">
      <w:pPr>
        <w:rPr>
          <w:i/>
        </w:rPr>
      </w:pPr>
      <w:r w:rsidRPr="00A34BB2">
        <w:rPr>
          <w:i/>
        </w:rPr>
        <w:t>Vu les pièces versées au débat</w:t>
      </w:r>
    </w:p>
    <w:p w14:paraId="68BA43C2" w14:textId="77777777" w:rsidR="009A07C5" w:rsidRPr="00A34BB2" w:rsidRDefault="009A07C5" w:rsidP="009A07C5"/>
    <w:p w14:paraId="4CC6590B" w14:textId="77777777" w:rsidR="009A07C5" w:rsidRPr="00A34BB2" w:rsidRDefault="009A07C5" w:rsidP="009A07C5">
      <w:r w:rsidRPr="00A34BB2">
        <w:t xml:space="preserve">Il est demandé au Président près le Tribunal </w:t>
      </w:r>
      <w:r>
        <w:t>judiciaire</w:t>
      </w:r>
      <w:r w:rsidRPr="00A34BB2">
        <w:t xml:space="preserve"> de </w:t>
      </w:r>
      <w:r w:rsidRPr="00A34BB2">
        <w:rPr>
          <w:i/>
        </w:rPr>
        <w:t>[ville]</w:t>
      </w:r>
      <w:r w:rsidRPr="00A34BB2">
        <w:t xml:space="preserve"> de :</w:t>
      </w:r>
    </w:p>
    <w:p w14:paraId="7052E697" w14:textId="77777777" w:rsidR="009A07C5" w:rsidRPr="00A34BB2" w:rsidRDefault="009A07C5" w:rsidP="009A07C5"/>
    <w:p w14:paraId="376528C4" w14:textId="77777777" w:rsidR="009A07C5" w:rsidRPr="00A34BB2" w:rsidRDefault="009A07C5" w:rsidP="009A07C5">
      <w:r w:rsidRPr="00A34BB2">
        <w:t xml:space="preserve">Déclarant la demande de </w:t>
      </w:r>
      <w:r w:rsidRPr="00A34BB2">
        <w:rPr>
          <w:i/>
        </w:rPr>
        <w:t>[Nom du demandeur]</w:t>
      </w:r>
      <w:r w:rsidRPr="00A34BB2">
        <w:t xml:space="preserve"> recevable et bien fondée,</w:t>
      </w:r>
    </w:p>
    <w:p w14:paraId="3ED9AF0F" w14:textId="77777777" w:rsidR="009A07C5" w:rsidRPr="00A34BB2" w:rsidRDefault="009A07C5" w:rsidP="009A07C5">
      <w:pPr>
        <w:rPr>
          <w:b/>
          <w:u w:val="single"/>
        </w:rPr>
      </w:pPr>
    </w:p>
    <w:p w14:paraId="401DB3B5" w14:textId="77777777" w:rsidR="009A07C5" w:rsidRPr="00A34BB2" w:rsidRDefault="009A07C5" w:rsidP="009A07C5">
      <w:pPr>
        <w:rPr>
          <w:b/>
          <w:u w:val="single"/>
        </w:rPr>
      </w:pPr>
    </w:p>
    <w:p w14:paraId="4E83F7C0" w14:textId="77777777" w:rsidR="009A07C5" w:rsidRDefault="009A07C5" w:rsidP="009A07C5">
      <w:pPr>
        <w:numPr>
          <w:ilvl w:val="0"/>
          <w:numId w:val="5"/>
        </w:numPr>
      </w:pPr>
      <w:r>
        <w:rPr>
          <w:b/>
        </w:rPr>
        <w:t xml:space="preserve">DIRE ET JUGER </w:t>
      </w:r>
      <w:r>
        <w:t xml:space="preserve">que la créance dont se prévaut </w:t>
      </w:r>
      <w:r w:rsidRPr="00994F55">
        <w:rPr>
          <w:i/>
        </w:rPr>
        <w:t>[nom du demandeur]</w:t>
      </w:r>
      <w:r>
        <w:t xml:space="preserve"> à l’encontre de </w:t>
      </w:r>
      <w:r w:rsidRPr="00994F55">
        <w:rPr>
          <w:i/>
        </w:rPr>
        <w:t xml:space="preserve">[nom </w:t>
      </w:r>
      <w:r>
        <w:rPr>
          <w:i/>
        </w:rPr>
        <w:t>de l’adversaire</w:t>
      </w:r>
      <w:r w:rsidRPr="00994F55">
        <w:rPr>
          <w:i/>
        </w:rPr>
        <w:t>]</w:t>
      </w:r>
      <w:r>
        <w:t xml:space="preserve"> au titre de </w:t>
      </w:r>
      <w:r w:rsidRPr="00FD0D15">
        <w:rPr>
          <w:i/>
          <w:iCs/>
        </w:rPr>
        <w:t>[source de l’obligation]</w:t>
      </w:r>
      <w:r>
        <w:t xml:space="preserve"> n’est pas sérieusement contestable</w:t>
      </w:r>
    </w:p>
    <w:p w14:paraId="37C46827" w14:textId="77777777" w:rsidR="009A07C5" w:rsidRDefault="009A07C5" w:rsidP="009A07C5"/>
    <w:p w14:paraId="04DC6D20" w14:textId="77777777" w:rsidR="009A07C5" w:rsidRDefault="009A07C5" w:rsidP="009A07C5">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175306A5" w14:textId="77777777" w:rsidR="009A07C5" w:rsidRDefault="009A07C5" w:rsidP="009A07C5"/>
    <w:p w14:paraId="6732AD3F" w14:textId="77777777" w:rsidR="009A07C5" w:rsidRDefault="009A07C5" w:rsidP="009A07C5">
      <w:r>
        <w:t>En conséquence,</w:t>
      </w:r>
    </w:p>
    <w:p w14:paraId="1E2D4AC4" w14:textId="77777777" w:rsidR="009A07C5" w:rsidRDefault="009A07C5" w:rsidP="009A07C5"/>
    <w:p w14:paraId="4A9A04DD" w14:textId="77777777" w:rsidR="009A07C5" w:rsidRPr="00994F55" w:rsidRDefault="009A07C5" w:rsidP="009A07C5">
      <w:pPr>
        <w:pStyle w:val="Paragraphedeliste"/>
        <w:numPr>
          <w:ilvl w:val="0"/>
          <w:numId w:val="5"/>
        </w:numPr>
        <w:jc w:val="both"/>
        <w:rPr>
          <w:i/>
        </w:rPr>
      </w:pPr>
      <w:r w:rsidRPr="00994F55">
        <w:rPr>
          <w:b/>
        </w:rPr>
        <w:t>CONDAMNER</w:t>
      </w:r>
      <w:r>
        <w:t xml:space="preserve"> </w:t>
      </w:r>
      <w:r w:rsidRPr="00994F55">
        <w:rPr>
          <w:i/>
        </w:rPr>
        <w:t xml:space="preserve">[nom </w:t>
      </w:r>
      <w:r>
        <w:rPr>
          <w:i/>
        </w:rPr>
        <w:t>de l’adversaire</w:t>
      </w:r>
      <w:r w:rsidRPr="00994F55">
        <w:rPr>
          <w:i/>
        </w:rPr>
        <w:t>]</w:t>
      </w:r>
      <w:r>
        <w:t xml:space="preserve"> à verser, à titre de provision, la somme de </w:t>
      </w:r>
      <w:r w:rsidRPr="00994F55">
        <w:rPr>
          <w:i/>
        </w:rPr>
        <w:t>[montant de la provision]</w:t>
      </w:r>
      <w:r>
        <w:t xml:space="preserve"> à </w:t>
      </w:r>
      <w:r w:rsidRPr="00994F55">
        <w:rPr>
          <w:i/>
        </w:rPr>
        <w:t>[nom du demandeur]</w:t>
      </w:r>
    </w:p>
    <w:p w14:paraId="11B96CF4" w14:textId="77777777" w:rsidR="009A07C5" w:rsidRDefault="009A07C5" w:rsidP="009A07C5"/>
    <w:p w14:paraId="119577E1" w14:textId="77777777" w:rsidR="009A07C5" w:rsidRDefault="009A07C5" w:rsidP="009A07C5">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2E249ECC" w14:textId="77777777" w:rsidR="009A07C5" w:rsidRDefault="009A07C5" w:rsidP="009A07C5"/>
    <w:p w14:paraId="4DECCA74" w14:textId="77777777" w:rsidR="009A07C5" w:rsidRDefault="009A07C5" w:rsidP="009A07C5">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1F7FAE0A" w14:textId="07D0A160" w:rsidR="00FA043F" w:rsidRDefault="00FA043F" w:rsidP="00FA043F"/>
    <w:p w14:paraId="69CB9B4A" w14:textId="431167A9" w:rsidR="00F94554" w:rsidRDefault="00F94554" w:rsidP="00FA043F"/>
    <w:p w14:paraId="0DC288F4" w14:textId="7B0CA1D9" w:rsidR="00F94554" w:rsidRDefault="00F94554" w:rsidP="00FA043F"/>
    <w:p w14:paraId="2EA9FE4A" w14:textId="77777777" w:rsidR="00F94554" w:rsidRDefault="00F94554"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6D8A" w14:textId="77777777" w:rsidR="00C23A73" w:rsidRDefault="00C23A73">
      <w:r>
        <w:separator/>
      </w:r>
    </w:p>
  </w:endnote>
  <w:endnote w:type="continuationSeparator" w:id="0">
    <w:p w14:paraId="162B903F" w14:textId="77777777" w:rsidR="00C23A73" w:rsidRDefault="00C2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B736" w14:textId="77777777" w:rsidR="00C23A73" w:rsidRDefault="00C23A73">
      <w:r>
        <w:separator/>
      </w:r>
    </w:p>
  </w:footnote>
  <w:footnote w:type="continuationSeparator" w:id="0">
    <w:p w14:paraId="694DCBF9" w14:textId="77777777" w:rsidR="00C23A73" w:rsidRDefault="00C2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0"/>
  </w:num>
  <w:num w:numId="7">
    <w:abstractNumId w:val="19"/>
  </w:num>
  <w:num w:numId="8">
    <w:abstractNumId w:val="7"/>
  </w:num>
  <w:num w:numId="9">
    <w:abstractNumId w:val="16"/>
  </w:num>
  <w:num w:numId="10">
    <w:abstractNumId w:val="17"/>
  </w:num>
  <w:num w:numId="11">
    <w:abstractNumId w:val="6"/>
  </w:num>
  <w:num w:numId="12">
    <w:abstractNumId w:val="8"/>
  </w:num>
  <w:num w:numId="13">
    <w:abstractNumId w:val="15"/>
  </w:num>
  <w:num w:numId="14">
    <w:abstractNumId w:val="12"/>
  </w:num>
  <w:num w:numId="15">
    <w:abstractNumId w:val="9"/>
  </w:num>
  <w:num w:numId="16">
    <w:abstractNumId w:val="11"/>
  </w:num>
  <w:num w:numId="17">
    <w:abstractNumId w:val="14"/>
  </w:num>
  <w:num w:numId="18">
    <w:abstractNumId w:val="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E55"/>
    <w:rsid w:val="000756FF"/>
    <w:rsid w:val="00080A5F"/>
    <w:rsid w:val="00090896"/>
    <w:rsid w:val="00092898"/>
    <w:rsid w:val="0009406A"/>
    <w:rsid w:val="000A37FD"/>
    <w:rsid w:val="000A515B"/>
    <w:rsid w:val="000A587E"/>
    <w:rsid w:val="000B3102"/>
    <w:rsid w:val="000C16AB"/>
    <w:rsid w:val="000C5F9A"/>
    <w:rsid w:val="000C650B"/>
    <w:rsid w:val="000D031A"/>
    <w:rsid w:val="000E0C63"/>
    <w:rsid w:val="000E4D5A"/>
    <w:rsid w:val="000E584B"/>
    <w:rsid w:val="000F6BC0"/>
    <w:rsid w:val="001012B5"/>
    <w:rsid w:val="00104ED1"/>
    <w:rsid w:val="001067AA"/>
    <w:rsid w:val="001174B9"/>
    <w:rsid w:val="00123F63"/>
    <w:rsid w:val="00124AD5"/>
    <w:rsid w:val="00124D95"/>
    <w:rsid w:val="001361CD"/>
    <w:rsid w:val="00151E24"/>
    <w:rsid w:val="00173143"/>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47640"/>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21F36"/>
    <w:rsid w:val="00332C27"/>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37CA2"/>
    <w:rsid w:val="0044570C"/>
    <w:rsid w:val="00446E13"/>
    <w:rsid w:val="00453ADA"/>
    <w:rsid w:val="00463B00"/>
    <w:rsid w:val="00470DF8"/>
    <w:rsid w:val="004731E2"/>
    <w:rsid w:val="00474E2E"/>
    <w:rsid w:val="00483563"/>
    <w:rsid w:val="00486976"/>
    <w:rsid w:val="004940FA"/>
    <w:rsid w:val="00494930"/>
    <w:rsid w:val="004975DA"/>
    <w:rsid w:val="004A2E15"/>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36DAF"/>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3F1C"/>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A07C5"/>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7AD7"/>
    <w:rsid w:val="00AE57C2"/>
    <w:rsid w:val="00AF0331"/>
    <w:rsid w:val="00B2262C"/>
    <w:rsid w:val="00B2317E"/>
    <w:rsid w:val="00B35DB8"/>
    <w:rsid w:val="00B41F6B"/>
    <w:rsid w:val="00B47222"/>
    <w:rsid w:val="00B51103"/>
    <w:rsid w:val="00B54863"/>
    <w:rsid w:val="00B603B8"/>
    <w:rsid w:val="00B6204F"/>
    <w:rsid w:val="00B62DF9"/>
    <w:rsid w:val="00B81816"/>
    <w:rsid w:val="00B82DA4"/>
    <w:rsid w:val="00B8687C"/>
    <w:rsid w:val="00B933AD"/>
    <w:rsid w:val="00BA5C35"/>
    <w:rsid w:val="00BA7BEF"/>
    <w:rsid w:val="00BB0D2B"/>
    <w:rsid w:val="00BC5C34"/>
    <w:rsid w:val="00BD6ADE"/>
    <w:rsid w:val="00BE7B86"/>
    <w:rsid w:val="00BF3042"/>
    <w:rsid w:val="00BF712B"/>
    <w:rsid w:val="00C07F48"/>
    <w:rsid w:val="00C102F9"/>
    <w:rsid w:val="00C16A24"/>
    <w:rsid w:val="00C22BB8"/>
    <w:rsid w:val="00C23A73"/>
    <w:rsid w:val="00C25D0C"/>
    <w:rsid w:val="00C26FFC"/>
    <w:rsid w:val="00C354EA"/>
    <w:rsid w:val="00C35FDB"/>
    <w:rsid w:val="00C3657C"/>
    <w:rsid w:val="00C41E63"/>
    <w:rsid w:val="00C44031"/>
    <w:rsid w:val="00C4659E"/>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071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04D2"/>
    <w:rsid w:val="00ED1CCB"/>
    <w:rsid w:val="00ED2E85"/>
    <w:rsid w:val="00EE1313"/>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4554"/>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171383390">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9909-057A-4F28-91D7-5AEFC018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2637</Words>
  <Characters>14509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8</cp:revision>
  <cp:lastPrinted>2018-05-24T19:57:00Z</cp:lastPrinted>
  <dcterms:created xsi:type="dcterms:W3CDTF">2020-04-17T22:53:00Z</dcterms:created>
  <dcterms:modified xsi:type="dcterms:W3CDTF">2021-11-09T21:52:00Z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