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8DFF" w14:textId="77777777" w:rsidR="007B458A" w:rsidRPr="00054FE7" w:rsidRDefault="007B458A" w:rsidP="007B458A">
      <w:pPr>
        <w:pStyle w:val="Normalsansretrait"/>
      </w:pPr>
    </w:p>
    <w:p w14:paraId="5DCC24C2" w14:textId="62F48CB2"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MAINLEVÉE D’UNE </w:t>
      </w:r>
      <w:r w:rsidR="00221E6C">
        <w:t>INSCRIPTION D’HYPOTH</w:t>
      </w:r>
      <w:r w:rsidR="00221E6C" w:rsidRPr="00221E6C">
        <w:t>È</w:t>
      </w:r>
      <w:r w:rsidR="00221E6C">
        <w:t>QUE JUDICIAIRE</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77777777" w:rsidR="009A7B81" w:rsidRPr="000C5F9A" w:rsidRDefault="009A7B81" w:rsidP="009A7B81">
      <w:r w:rsidRPr="000C5F9A">
        <w:rPr>
          <w:b/>
          <w:u w:val="single"/>
        </w:rPr>
        <w:t>Ayant pour avocat constitué</w:t>
      </w:r>
      <w:r w:rsidRPr="000C5F9A">
        <w:t xml:space="preserve">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12B5DE5B" w14:textId="77777777" w:rsidR="009A7B81" w:rsidRPr="000C5F9A" w:rsidRDefault="009A7B81" w:rsidP="009A7B81"/>
    <w:p w14:paraId="66200B71" w14:textId="77777777" w:rsidR="009A7B81" w:rsidRPr="000C5F9A" w:rsidRDefault="009A7B81" w:rsidP="009A7B81">
      <w:pPr>
        <w:jc w:val="center"/>
        <w:rPr>
          <w:b/>
          <w:i/>
        </w:rPr>
      </w:pPr>
      <w:r w:rsidRPr="000C5F9A">
        <w:rPr>
          <w:b/>
        </w:rPr>
        <w:t>[</w:t>
      </w:r>
      <w:r w:rsidRPr="000C5F9A">
        <w:rPr>
          <w:b/>
          <w:i/>
        </w:rPr>
        <w:t>Si postulation</w:t>
      </w:r>
      <w:r w:rsidRPr="000C5F9A">
        <w:rPr>
          <w:b/>
        </w:rPr>
        <w:t>]</w:t>
      </w:r>
    </w:p>
    <w:p w14:paraId="7663EBB4" w14:textId="77777777" w:rsidR="009A7B81" w:rsidRPr="000C5F9A" w:rsidRDefault="009A7B81" w:rsidP="009A7B81"/>
    <w:p w14:paraId="725649AE" w14:textId="77777777" w:rsidR="009A7B81" w:rsidRPr="000C5F9A" w:rsidRDefault="009A7B81" w:rsidP="009A7B81">
      <w:r w:rsidRPr="000C5F9A">
        <w:rPr>
          <w:b/>
          <w:u w:val="single"/>
        </w:rPr>
        <w:t>Ayant pour avocat plaidant</w:t>
      </w:r>
      <w:r w:rsidRPr="000C5F9A">
        <w:t> :</w:t>
      </w:r>
    </w:p>
    <w:p w14:paraId="73558AA0" w14:textId="77777777" w:rsidR="009A7B81" w:rsidRPr="000C5F9A" w:rsidRDefault="009A7B81" w:rsidP="009A7B81"/>
    <w:p w14:paraId="33B4040D" w14:textId="77777777" w:rsidR="009A7B81" w:rsidRPr="000C5F9A" w:rsidRDefault="009A7B81" w:rsidP="009A7B81">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A106CF3" w14:textId="77777777" w:rsidR="00C640F3" w:rsidRDefault="00C640F3" w:rsidP="007B458A"/>
    <w:p w14:paraId="43309E9D" w14:textId="77777777" w:rsidR="00AF0331" w:rsidRPr="00C2797C" w:rsidRDefault="00AF0331"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lastRenderedPageBreak/>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543CDD95" w14:textId="77777777" w:rsidR="00347B0F" w:rsidRDefault="00347B0F" w:rsidP="00347B0F">
      <w:pPr>
        <w:pBdr>
          <w:top w:val="single" w:sz="4" w:space="1" w:color="auto"/>
          <w:left w:val="single" w:sz="4" w:space="1" w:color="auto"/>
          <w:bottom w:val="single" w:sz="4" w:space="1" w:color="auto"/>
          <w:right w:val="single" w:sz="4" w:space="1" w:color="auto"/>
        </w:pBdr>
        <w:shd w:val="clear" w:color="auto" w:fill="E7E6E6" w:themeFill="background2"/>
      </w:pPr>
      <w:r>
        <w:t>Que conformément, aux articles R. 121-4 et R. 121-6 du Code des procédures civiles d’exécution, la représentation est obligatoire, en conséquence de quoi il est tenu de constituer avocat pour être représenté par-devant ce tribunal.</w:t>
      </w:r>
    </w:p>
    <w:p w14:paraId="58E1E264" w14:textId="580EAC7F"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7EE74563" w14:textId="77777777" w:rsidR="00BB2F99" w:rsidRDefault="00BB2F99" w:rsidP="00BB2F99">
      <w:pPr>
        <w:pBdr>
          <w:top w:val="single" w:sz="4" w:space="1" w:color="auto"/>
          <w:left w:val="single" w:sz="4" w:space="1" w:color="auto"/>
          <w:bottom w:val="single" w:sz="4" w:space="1" w:color="auto"/>
          <w:right w:val="single" w:sz="4" w:space="1" w:color="auto"/>
        </w:pBdr>
        <w:shd w:val="clear" w:color="auto" w:fill="E7E6E6" w:themeFill="background2"/>
      </w:pPr>
      <w:r>
        <w:t>Que l’État, les départements, les régions, les communes et les établissements publics peuvent se faire représenter ou assister par un fonctionnaire ou un agent de leur administration.</w:t>
      </w:r>
    </w:p>
    <w:p w14:paraId="587201B4" w14:textId="77777777" w:rsidR="00BB2F99" w:rsidRPr="000C5F9A" w:rsidRDefault="00BB2F99"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292A2FF"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6127407" w14:textId="6503E50C"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10F9C1E7" w:rsidR="007B458A" w:rsidRDefault="007B458A" w:rsidP="007B458A">
      <w:pPr>
        <w:rPr>
          <w:highlight w:val="yellow"/>
        </w:rPr>
      </w:pPr>
    </w:p>
    <w:p w14:paraId="58907F54" w14:textId="6A42FB65"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w:t>
      </w:r>
      <w:r w:rsidR="00B4111D">
        <w:t>d’inscrire une hypothèque judiciaire</w:t>
      </w:r>
      <w:r>
        <w:t xml:space="preserve"> au préjudice de </w:t>
      </w:r>
      <w:r w:rsidRPr="0069661E">
        <w:rPr>
          <w:i/>
        </w:rPr>
        <w:t>[identité du demandeur]</w:t>
      </w:r>
      <w:r w:rsidR="00B4111D">
        <w:t xml:space="preserve"> sur un immeuble lui appartenant situé </w:t>
      </w:r>
      <w:r w:rsidR="00B4111D" w:rsidRPr="00B4111D">
        <w:rPr>
          <w:i/>
        </w:rPr>
        <w:t>[adresse]</w:t>
      </w:r>
      <w:r>
        <w:t>.</w:t>
      </w:r>
    </w:p>
    <w:p w14:paraId="3B5AF6E9" w14:textId="1383CE4F" w:rsidR="0069661E" w:rsidRDefault="0069661E" w:rsidP="007B458A"/>
    <w:p w14:paraId="428E59BB" w14:textId="1FDEA3DE" w:rsidR="0069661E" w:rsidRDefault="00201E79" w:rsidP="007B458A">
      <w:r>
        <w:t>L’acte de saisie a été accompli</w:t>
      </w:r>
      <w:r w:rsidR="0069661E">
        <w:t xml:space="preserve"> le </w:t>
      </w:r>
      <w:r w:rsidR="0069661E" w:rsidRPr="0069661E">
        <w:rPr>
          <w:i/>
        </w:rPr>
        <w:t>[date de la saisie]</w:t>
      </w:r>
      <w:r w:rsidR="0069661E">
        <w:t xml:space="preserve"> par Me </w:t>
      </w:r>
      <w:r w:rsidR="0069661E" w:rsidRPr="0069661E">
        <w:rPr>
          <w:i/>
        </w:rPr>
        <w:t>[identité de l’huissier instrumentaire]</w:t>
      </w:r>
      <w:r>
        <w:rPr>
          <w:i/>
        </w:rPr>
        <w:t>,</w:t>
      </w:r>
      <w:r w:rsidR="0069661E">
        <w:t xml:space="preserve"> </w:t>
      </w:r>
      <w:r>
        <w:t>après quoi la mesure conservatoire a été</w:t>
      </w:r>
      <w:r w:rsidR="0069661E">
        <w:t xml:space="preserve"> dénoncée </w:t>
      </w:r>
      <w:r>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6ED5128A" w:rsidR="0069661E" w:rsidRPr="0069661E" w:rsidRDefault="0069661E" w:rsidP="007B458A">
      <w:r>
        <w:t xml:space="preserve">Pour les raisons qui seront exposées ci-après </w:t>
      </w:r>
      <w:r w:rsidRPr="0069661E">
        <w:rPr>
          <w:i/>
        </w:rPr>
        <w:t>[identité du demandeur]</w:t>
      </w:r>
      <w:r>
        <w:t xml:space="preserve"> entend contester </w:t>
      </w:r>
      <w:r w:rsidR="002F5A06">
        <w:t xml:space="preserve">l’inscription d’hypothèque judiciaire </w:t>
      </w:r>
      <w:r>
        <w:t>pratiquée</w:t>
      </w:r>
      <w:r w:rsidR="00201E79">
        <w:t xml:space="preserve"> à son encontre</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60D9117A" w:rsidR="00B8687C" w:rsidRDefault="007059B8" w:rsidP="0001143C">
      <w:r>
        <w:sym w:font="Wingdings" w:char="F0E8"/>
      </w:r>
      <w:r w:rsidRPr="007059B8">
        <w:rPr>
          <w:b/>
          <w:u w:val="single"/>
        </w:rPr>
        <w:t>S</w:t>
      </w:r>
      <w:r w:rsidR="000D1D1F">
        <w:rPr>
          <w:b/>
          <w:u w:val="single"/>
        </w:rPr>
        <w:t>ur la demande de mainlevée de l’inscription d’hypothèque judiciaire</w:t>
      </w:r>
    </w:p>
    <w:p w14:paraId="3D01EA89" w14:textId="27ED9EA3" w:rsidR="007059B8" w:rsidRDefault="007059B8" w:rsidP="0001143C"/>
    <w:p w14:paraId="53EF8FFD" w14:textId="77777777" w:rsidR="007059B8" w:rsidRDefault="007059B8" w:rsidP="007059B8">
      <w:r>
        <w:t>Les causes de mainlevée de la mesure conservatoire prise se classent en deux catégories :</w:t>
      </w:r>
    </w:p>
    <w:p w14:paraId="2873C8CF" w14:textId="77777777" w:rsidR="007059B8" w:rsidRDefault="007059B8" w:rsidP="007059B8"/>
    <w:p w14:paraId="7CEB7640" w14:textId="77777777" w:rsidR="007059B8" w:rsidRPr="004E11F8" w:rsidRDefault="007059B8" w:rsidP="007059B8">
      <w:pPr>
        <w:pStyle w:val="Paragraphedeliste"/>
        <w:numPr>
          <w:ilvl w:val="0"/>
          <w:numId w:val="17"/>
        </w:numPr>
        <w:jc w:val="both"/>
        <w:rPr>
          <w:b/>
        </w:rPr>
      </w:pPr>
      <w:r w:rsidRPr="004E11F8">
        <w:rPr>
          <w:b/>
        </w:rPr>
        <w:t>Les causes de mainlevée qui tiennent à l’inobservation des conditions de la procédure d’adoption d’une mesure conservatoire</w:t>
      </w:r>
    </w:p>
    <w:p w14:paraId="70247945" w14:textId="77777777" w:rsidR="007059B8" w:rsidRDefault="007059B8" w:rsidP="007059B8">
      <w:pPr>
        <w:pStyle w:val="Paragraphedeliste"/>
        <w:numPr>
          <w:ilvl w:val="1"/>
          <w:numId w:val="17"/>
        </w:numPr>
        <w:jc w:val="both"/>
      </w:pPr>
      <w:r w:rsidRPr="004E11F8">
        <w:rPr>
          <w:u w:val="single"/>
        </w:rPr>
        <w:t>L’article L. 512-1</w:t>
      </w:r>
      <w:r>
        <w:t xml:space="preserve"> du CPCE prévoit que « </w:t>
      </w:r>
      <w:r w:rsidRPr="004E11F8">
        <w:rPr>
          <w:i/>
        </w:rPr>
        <w:t>même lorsqu'une autorisation préalable n'est pas requise, le juge peut donner mainlevée de la mesure conservatoire s'il apparaît que les conditions prescrites par l'article L. 511-1 ne sont pas réunies</w:t>
      </w:r>
      <w:r>
        <w:t> ».</w:t>
      </w:r>
    </w:p>
    <w:p w14:paraId="424D4E5E" w14:textId="77777777" w:rsidR="007059B8" w:rsidRDefault="007059B8" w:rsidP="007059B8">
      <w:pPr>
        <w:pStyle w:val="Paragraphedeliste"/>
        <w:numPr>
          <w:ilvl w:val="1"/>
          <w:numId w:val="17"/>
        </w:numPr>
        <w:jc w:val="both"/>
      </w:pPr>
      <w:r>
        <w:t>Il ressort de cette disposition que lorsque les conditions d’adoption de la mesure conservatoire pratiquée ne sont pas réunies, le débiteur est fondé à solliciter la mainlevée de la mesure.</w:t>
      </w:r>
    </w:p>
    <w:p w14:paraId="2AC44132" w14:textId="77777777" w:rsidR="007059B8" w:rsidRDefault="007059B8" w:rsidP="007059B8">
      <w:pPr>
        <w:pStyle w:val="Paragraphedeliste"/>
        <w:numPr>
          <w:ilvl w:val="1"/>
          <w:numId w:val="17"/>
        </w:numPr>
        <w:jc w:val="both"/>
      </w:pPr>
      <w:r w:rsidRPr="004E11F8">
        <w:rPr>
          <w:u w:val="single"/>
        </w:rPr>
        <w:t>L’article R. 512-1</w:t>
      </w:r>
      <w:r>
        <w:t xml:space="preserve"> du CPCE ajoute que la demande de mainlevée est encore possible s</w:t>
      </w:r>
      <w:r w:rsidRPr="00CA183C">
        <w:t>i les conditions prévues aux articles R. 511-1 à R. 511-8 ne sont pas réunies</w:t>
      </w:r>
      <w:r>
        <w:t xml:space="preserve">, </w:t>
      </w:r>
      <w:r w:rsidRPr="004E11F8">
        <w:t xml:space="preserve">même dans les cas où l'article L. 511-2 permet que cette mesure soit prise sans son autorisation. </w:t>
      </w:r>
    </w:p>
    <w:p w14:paraId="4605D4DC" w14:textId="77777777" w:rsidR="007059B8" w:rsidRDefault="007059B8" w:rsidP="007059B8">
      <w:pPr>
        <w:pStyle w:val="Paragraphedeliste"/>
        <w:numPr>
          <w:ilvl w:val="1"/>
          <w:numId w:val="17"/>
        </w:numPr>
        <w:jc w:val="both"/>
      </w:pPr>
      <w:r>
        <w:t>Trois enseignements peuvent être retirés de ces deux dispositions :</w:t>
      </w:r>
    </w:p>
    <w:p w14:paraId="68C3D084" w14:textId="77777777" w:rsidR="007059B8" w:rsidRDefault="007059B8" w:rsidP="007059B8">
      <w:pPr>
        <w:pStyle w:val="Paragraphedeliste"/>
        <w:numPr>
          <w:ilvl w:val="2"/>
          <w:numId w:val="17"/>
        </w:numPr>
        <w:jc w:val="both"/>
      </w:pPr>
      <w:r w:rsidRPr="004E11F8">
        <w:rPr>
          <w:b/>
        </w:rPr>
        <w:t>D’une part</w:t>
      </w:r>
      <w:r>
        <w:t>, la demande de mainlevée peut être demandée à tout moment, soit postérieurement à la réalisation de la mesure</w:t>
      </w:r>
    </w:p>
    <w:p w14:paraId="3B233491" w14:textId="77777777" w:rsidR="007059B8" w:rsidRDefault="007059B8" w:rsidP="007059B8">
      <w:pPr>
        <w:pStyle w:val="Paragraphedeliste"/>
        <w:numPr>
          <w:ilvl w:val="2"/>
          <w:numId w:val="17"/>
        </w:numPr>
        <w:jc w:val="both"/>
      </w:pPr>
      <w:r w:rsidRPr="004E11F8">
        <w:rPr>
          <w:b/>
        </w:rPr>
        <w:t>D’autre part</w:t>
      </w:r>
      <w:r>
        <w:t>, la demande de mainlevée peut être formulée nonobstant l’autorisation du juge</w:t>
      </w:r>
    </w:p>
    <w:p w14:paraId="50A465A2" w14:textId="77777777" w:rsidR="007059B8" w:rsidRDefault="007059B8" w:rsidP="007059B8">
      <w:pPr>
        <w:pStyle w:val="Paragraphedeliste"/>
        <w:numPr>
          <w:ilvl w:val="2"/>
          <w:numId w:val="17"/>
        </w:numPr>
        <w:jc w:val="both"/>
      </w:pPr>
      <w:r>
        <w:rPr>
          <w:b/>
        </w:rPr>
        <w:t>Enfin,</w:t>
      </w:r>
      <w:r>
        <w:t xml:space="preserve"> une demande de mainlevée peut être formulée, alors même que la mesure a été pratiquée sans autorisation du Juge</w:t>
      </w:r>
    </w:p>
    <w:p w14:paraId="4DDBD237" w14:textId="77777777" w:rsidR="007059B8" w:rsidRDefault="007059B8" w:rsidP="007059B8">
      <w:pPr>
        <w:pStyle w:val="Paragraphedeliste"/>
        <w:numPr>
          <w:ilvl w:val="1"/>
          <w:numId w:val="17"/>
        </w:numPr>
        <w:jc w:val="both"/>
      </w:pPr>
      <w:r w:rsidRPr="004E11F8">
        <w:rPr>
          <w:u w:val="single"/>
        </w:rPr>
        <w:lastRenderedPageBreak/>
        <w:t>L’article R. 512-1, al. 2</w:t>
      </w:r>
      <w:r>
        <w:t xml:space="preserve"> prévoit que c’est au créancier de prouver que les conditions requises sont réunies, soit les conditions de fond de la procédure d’adoption de la mesure. </w:t>
      </w:r>
    </w:p>
    <w:p w14:paraId="051C6412" w14:textId="77777777" w:rsidR="007059B8" w:rsidRDefault="007059B8" w:rsidP="007059B8">
      <w:pPr>
        <w:pStyle w:val="Paragraphedeliste"/>
        <w:numPr>
          <w:ilvl w:val="1"/>
          <w:numId w:val="17"/>
        </w:numPr>
        <w:jc w:val="both"/>
      </w:pPr>
      <w:r>
        <w:t xml:space="preserve">La règle est logique, car il n’est pas illégitime de considérer que c’est au demandeur initial de la mesure qu’il appartient de prouver son bien-fondé. </w:t>
      </w:r>
    </w:p>
    <w:p w14:paraId="2D37C315" w14:textId="77777777" w:rsidR="007059B8" w:rsidRDefault="007059B8" w:rsidP="007059B8"/>
    <w:p w14:paraId="4F43CD7A" w14:textId="77777777" w:rsidR="007059B8" w:rsidRPr="004E11F8" w:rsidRDefault="007059B8" w:rsidP="007059B8">
      <w:pPr>
        <w:pStyle w:val="Paragraphedeliste"/>
        <w:numPr>
          <w:ilvl w:val="0"/>
          <w:numId w:val="17"/>
        </w:numPr>
        <w:jc w:val="both"/>
        <w:rPr>
          <w:b/>
        </w:rPr>
      </w:pPr>
      <w:r w:rsidRPr="004E11F8">
        <w:rPr>
          <w:b/>
        </w:rPr>
        <w:t>La cause de mainlevée qui tient à la constitution d’une caution bancaire</w:t>
      </w:r>
    </w:p>
    <w:p w14:paraId="772E9AC8" w14:textId="77777777" w:rsidR="007059B8" w:rsidRDefault="007059B8" w:rsidP="007059B8">
      <w:pPr>
        <w:pStyle w:val="Paragraphedeliste"/>
        <w:numPr>
          <w:ilvl w:val="1"/>
          <w:numId w:val="17"/>
        </w:numPr>
        <w:jc w:val="both"/>
      </w:pPr>
      <w:r w:rsidRPr="004E11F8">
        <w:rPr>
          <w:u w:val="single"/>
        </w:rPr>
        <w:t>L’article L. 512-1, al. 3</w:t>
      </w:r>
      <w:r>
        <w:t xml:space="preserve"> du CPCE prévoit que l</w:t>
      </w:r>
      <w:r w:rsidRPr="004E11F8">
        <w:t xml:space="preserve">a constitution d'une caution bancaire irrévocable conforme à la mesure sollicitée dans la saisie entraîne mainlevée de la mesure de sûreté, sous réserve des dispositions de </w:t>
      </w:r>
      <w:r w:rsidRPr="00AE535F">
        <w:rPr>
          <w:u w:val="single"/>
        </w:rPr>
        <w:t>l'article L. 511-4</w:t>
      </w:r>
      <w:r w:rsidRPr="004E11F8">
        <w:t xml:space="preserve">. </w:t>
      </w:r>
    </w:p>
    <w:p w14:paraId="51F4E636" w14:textId="77777777" w:rsidR="007059B8" w:rsidRDefault="007059B8" w:rsidP="007059B8">
      <w:pPr>
        <w:pStyle w:val="Paragraphedeliste"/>
        <w:numPr>
          <w:ilvl w:val="1"/>
          <w:numId w:val="17"/>
        </w:numPr>
        <w:jc w:val="both"/>
      </w:pPr>
      <w:r>
        <w:t>Ainsi, en pareille hypothèse, la mainlevée opère de plein droit</w:t>
      </w:r>
    </w:p>
    <w:p w14:paraId="4BBD4DF4" w14:textId="573CDB8F" w:rsidR="007059B8" w:rsidRDefault="007059B8" w:rsidP="0001143C"/>
    <w:p w14:paraId="54BFDA16" w14:textId="48782095" w:rsidR="002B286E" w:rsidRDefault="002B286E" w:rsidP="0001143C">
      <w:r>
        <w:sym w:font="Wingdings" w:char="F0E8"/>
      </w:r>
      <w:r w:rsidRPr="002B286E">
        <w:rPr>
          <w:b/>
          <w:u w:val="single"/>
        </w:rPr>
        <w:t>Sur la demande d’octroi de dommages et intérêts</w:t>
      </w:r>
    </w:p>
    <w:p w14:paraId="20EE63EE" w14:textId="67D8579D" w:rsidR="002B286E" w:rsidRDefault="002B286E" w:rsidP="002B286E"/>
    <w:p w14:paraId="747C729B" w14:textId="77777777" w:rsidR="002B286E" w:rsidRDefault="002B286E" w:rsidP="002B286E">
      <w:r w:rsidRPr="005118BA">
        <w:rPr>
          <w:u w:val="single"/>
        </w:rPr>
        <w:t>L’article L. 512-2</w:t>
      </w:r>
      <w:r>
        <w:t xml:space="preserve"> du CPCE prévoit que l</w:t>
      </w:r>
      <w:r w:rsidRPr="005118BA">
        <w:t>orsque la mainlevée a été ordonnée par le juge, le créancier peut être condamné à réparer le préjudice causé par la mesure conservatoire.</w:t>
      </w:r>
    </w:p>
    <w:p w14:paraId="654599A5" w14:textId="77777777" w:rsidR="002B286E" w:rsidRDefault="002B286E" w:rsidP="002B286E"/>
    <w:p w14:paraId="3A243A2A" w14:textId="77777777" w:rsidR="002B286E" w:rsidRDefault="002B286E" w:rsidP="002B286E">
      <w:r>
        <w:t>Dans un arrêt du 21 octobre 2009, la Cour de cassation a estimé, après plusieurs tergiversations, que cette action n’était pas subordonnée à l’établissement d’une faute (</w:t>
      </w:r>
      <w:r w:rsidRPr="00750013">
        <w:rPr>
          <w:i/>
          <w:u w:val="single"/>
        </w:rPr>
        <w:t>Cass. 3</w:t>
      </w:r>
      <w:r w:rsidRPr="00750013">
        <w:rPr>
          <w:i/>
          <w:u w:val="single"/>
          <w:vertAlign w:val="superscript"/>
        </w:rPr>
        <w:t>e</w:t>
      </w:r>
      <w:r w:rsidRPr="00750013">
        <w:rPr>
          <w:i/>
          <w:u w:val="single"/>
        </w:rPr>
        <w:t xml:space="preserve"> civ., 21 oct. 2009</w:t>
      </w:r>
      <w:r>
        <w:t xml:space="preserve">). </w:t>
      </w:r>
    </w:p>
    <w:p w14:paraId="1AD83454" w14:textId="77777777" w:rsidR="002B286E" w:rsidRDefault="002B286E" w:rsidP="002B286E"/>
    <w:p w14:paraId="735C3089" w14:textId="77777777" w:rsidR="002B286E" w:rsidRDefault="002B286E" w:rsidP="002B286E">
      <w:r>
        <w:t>Alors qu’elle avait adopté, quelques années plus tôt, la solution inverse (</w:t>
      </w:r>
      <w:r w:rsidRPr="00750013">
        <w:rPr>
          <w:i/>
          <w:u w:val="single"/>
        </w:rPr>
        <w:t>Cass. com. 14 janv. 2004</w:t>
      </w:r>
      <w:r>
        <w:t>), la Chambre commerciale s’est finalement ralliée à la position, partagée, de la 2</w:t>
      </w:r>
      <w:r w:rsidRPr="00750013">
        <w:rPr>
          <w:vertAlign w:val="superscript"/>
        </w:rPr>
        <w:t>e</w:t>
      </w:r>
      <w:r>
        <w:t xml:space="preserve"> et 3</w:t>
      </w:r>
      <w:r w:rsidRPr="00750013">
        <w:rPr>
          <w:vertAlign w:val="superscript"/>
        </w:rPr>
        <w:t>e</w:t>
      </w:r>
      <w:r>
        <w:t xml:space="preserve"> chambre civile dans un arrêt du 25 septembre 2012 (</w:t>
      </w:r>
      <w:r w:rsidRPr="00750013">
        <w:rPr>
          <w:i/>
          <w:u w:val="single"/>
        </w:rPr>
        <w:t>Cass. com. 25 sept. 2012</w:t>
      </w:r>
      <w:r>
        <w:t>).</w:t>
      </w:r>
    </w:p>
    <w:p w14:paraId="32BEF68D" w14:textId="77777777" w:rsidR="002B286E" w:rsidRDefault="002B286E" w:rsidP="002B286E"/>
    <w:p w14:paraId="63053F96" w14:textId="77777777" w:rsidR="002B286E" w:rsidRDefault="002B286E" w:rsidP="002B286E">
      <w:r>
        <w:t xml:space="preserve">Aussi, appartient-il seulement au débiteur de démontrer qu’il a subi un préjudice du fait de la mesure conservatoire dont il a irrégulièrement fait l’objet. </w:t>
      </w:r>
    </w:p>
    <w:p w14:paraId="177BC10C" w14:textId="77777777" w:rsidR="002B286E" w:rsidRDefault="002B286E" w:rsidP="0001143C"/>
    <w:p w14:paraId="7A537E94" w14:textId="77777777"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7F529C2C" w:rsidR="00D13484" w:rsidRPr="00780FAB" w:rsidRDefault="00D13484" w:rsidP="007B458A">
      <w:pPr>
        <w:rPr>
          <w:i/>
        </w:rPr>
      </w:pPr>
      <w:r w:rsidRPr="00780FAB">
        <w:rPr>
          <w:i/>
        </w:rPr>
        <w:t>Vu l</w:t>
      </w:r>
      <w:r w:rsidR="009828D2">
        <w:rPr>
          <w:i/>
        </w:rPr>
        <w:t xml:space="preserve">es articles L. 512-1 et L. 512-2 </w:t>
      </w:r>
      <w:r w:rsidR="00BB414E">
        <w:rPr>
          <w:i/>
        </w:rPr>
        <w:t>du Code des procédures civiles d’exécution</w:t>
      </w:r>
      <w:r w:rsidR="009828D2">
        <w:rPr>
          <w:i/>
        </w:rPr>
        <w:t xml:space="preserve"> ainsi que les articles R. 512-1 et suivants du même Code</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1E90ADEA" w:rsidR="00C35FDB" w:rsidRDefault="00C35FDB" w:rsidP="007B458A">
      <w:r>
        <w:t xml:space="preserve">Il est demandé au </w:t>
      </w:r>
      <w:r w:rsidR="00710863">
        <w:t xml:space="preserve">Juge de l’exécution près </w:t>
      </w:r>
      <w:r w:rsidR="00CA535F">
        <w:t xml:space="preserve">le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617F3B9D" w:rsidR="00757DF1" w:rsidRDefault="00BE7B86" w:rsidP="00210AB0">
      <w:pPr>
        <w:numPr>
          <w:ilvl w:val="0"/>
          <w:numId w:val="5"/>
        </w:numPr>
      </w:pPr>
      <w:r w:rsidRPr="001F0ACC">
        <w:rPr>
          <w:b/>
        </w:rPr>
        <w:t>ORDONNER</w:t>
      </w:r>
      <w:r>
        <w:t xml:space="preserve"> </w:t>
      </w:r>
      <w:r w:rsidR="00BB414E">
        <w:t xml:space="preserve">la mainlevée immédiate de </w:t>
      </w:r>
      <w:r w:rsidR="008139F6">
        <w:t>l’inscription d’hypothèque judiciaire</w:t>
      </w:r>
      <w:r w:rsidR="00BB414E">
        <w:t xml:space="preserve"> pratiquée </w:t>
      </w:r>
      <w:r w:rsidR="00985082">
        <w:t xml:space="preserve">à titre conservatoire </w:t>
      </w:r>
      <w:r w:rsidR="00BB414E">
        <w:t xml:space="preserve">par </w:t>
      </w:r>
      <w:r w:rsidR="00BB414E" w:rsidRPr="007A501C">
        <w:rPr>
          <w:i/>
        </w:rPr>
        <w:t xml:space="preserve">[identité du créancier saisissant] </w:t>
      </w:r>
      <w:r w:rsidR="00CF5CAC">
        <w:t>sur le fondement de l’ordonnance précitée</w:t>
      </w:r>
    </w:p>
    <w:p w14:paraId="3AC556F4" w14:textId="226EC39F" w:rsidR="00210AB0" w:rsidRDefault="00210AB0" w:rsidP="00210AB0"/>
    <w:p w14:paraId="3FA5A316" w14:textId="56B2FF22" w:rsidR="00757DF1" w:rsidRDefault="00757DF1" w:rsidP="00757DF1">
      <w:pPr>
        <w:numPr>
          <w:ilvl w:val="0"/>
          <w:numId w:val="5"/>
        </w:numPr>
      </w:pPr>
      <w:r>
        <w:rPr>
          <w:b/>
        </w:rPr>
        <w:t>CONDAMNER</w:t>
      </w:r>
      <w:r>
        <w:t xml:space="preserve"> </w:t>
      </w:r>
      <w:r w:rsidR="002B286E" w:rsidRPr="002B286E">
        <w:rPr>
          <w:i/>
        </w:rPr>
        <w:t>[identité du créancier saisissant]</w:t>
      </w:r>
      <w:r w:rsidR="002B286E">
        <w:t xml:space="preserve"> au paiement de la somme de </w:t>
      </w:r>
      <w:r w:rsidR="002B286E" w:rsidRPr="002B286E">
        <w:rPr>
          <w:i/>
        </w:rPr>
        <w:t>[montant]</w:t>
      </w:r>
      <w:r w:rsidR="002B286E">
        <w:t xml:space="preserve"> en réparation du préjudice causé par la </w:t>
      </w:r>
      <w:r w:rsidR="001C56CB">
        <w:t>mesure</w:t>
      </w:r>
      <w:r w:rsidR="002B286E">
        <w:t xml:space="preserve"> conservatoire pratiquée à l’encontre du demandeur</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lastRenderedPageBreak/>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CD5C" w14:textId="77777777" w:rsidR="00C163A3" w:rsidRDefault="00C163A3">
      <w:r>
        <w:separator/>
      </w:r>
    </w:p>
  </w:endnote>
  <w:endnote w:type="continuationSeparator" w:id="0">
    <w:p w14:paraId="6A018138" w14:textId="77777777" w:rsidR="00C163A3" w:rsidRDefault="00C1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865F" w14:textId="05AF9FD0"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4F3525">
      <w:rPr>
        <w:rStyle w:val="Numrodepage"/>
        <w:noProof/>
        <w:sz w:val="20"/>
      </w:rPr>
      <w:t>3</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5BA" w14:textId="5515A41B" w:rsidR="008D0A52" w:rsidRDefault="008D0A52">
    <w:pPr>
      <w:pStyle w:val="Pieddepage"/>
      <w:jc w:val="center"/>
    </w:pPr>
    <w:r>
      <w:fldChar w:fldCharType="begin"/>
    </w:r>
    <w:r>
      <w:instrText>PAGE   \* MERGEFORMAT</w:instrText>
    </w:r>
    <w:r>
      <w:fldChar w:fldCharType="separate"/>
    </w:r>
    <w:r w:rsidR="004F3525">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7501" w14:textId="77777777" w:rsidR="00C163A3" w:rsidRDefault="00C163A3">
      <w:r>
        <w:separator/>
      </w:r>
    </w:p>
  </w:footnote>
  <w:footnote w:type="continuationSeparator" w:id="0">
    <w:p w14:paraId="006B1C48" w14:textId="77777777" w:rsidR="00C163A3" w:rsidRDefault="00C16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D1D1F"/>
    <w:rsid w:val="000E0189"/>
    <w:rsid w:val="000E0C63"/>
    <w:rsid w:val="000E584B"/>
    <w:rsid w:val="00100E6B"/>
    <w:rsid w:val="001012B5"/>
    <w:rsid w:val="001067AA"/>
    <w:rsid w:val="001174B9"/>
    <w:rsid w:val="00117B03"/>
    <w:rsid w:val="00142BDF"/>
    <w:rsid w:val="00154BE4"/>
    <w:rsid w:val="001A3BA3"/>
    <w:rsid w:val="001B6B80"/>
    <w:rsid w:val="001C14D2"/>
    <w:rsid w:val="001C56CB"/>
    <w:rsid w:val="001D1702"/>
    <w:rsid w:val="001D3C22"/>
    <w:rsid w:val="001D4A9A"/>
    <w:rsid w:val="001E1B19"/>
    <w:rsid w:val="001E38D5"/>
    <w:rsid w:val="001F0ACC"/>
    <w:rsid w:val="001F4B76"/>
    <w:rsid w:val="00201E79"/>
    <w:rsid w:val="00210AB0"/>
    <w:rsid w:val="00211CE7"/>
    <w:rsid w:val="00221E6C"/>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B286E"/>
    <w:rsid w:val="002E67E0"/>
    <w:rsid w:val="002F5A06"/>
    <w:rsid w:val="00306043"/>
    <w:rsid w:val="00315E9B"/>
    <w:rsid w:val="0032003E"/>
    <w:rsid w:val="00320318"/>
    <w:rsid w:val="00330AAE"/>
    <w:rsid w:val="00347B0F"/>
    <w:rsid w:val="00357510"/>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549A1"/>
    <w:rsid w:val="00463B00"/>
    <w:rsid w:val="004731E2"/>
    <w:rsid w:val="00473A42"/>
    <w:rsid w:val="004757D0"/>
    <w:rsid w:val="004815CF"/>
    <w:rsid w:val="00486976"/>
    <w:rsid w:val="00486F5D"/>
    <w:rsid w:val="004940FA"/>
    <w:rsid w:val="00494930"/>
    <w:rsid w:val="004975DA"/>
    <w:rsid w:val="004A2E15"/>
    <w:rsid w:val="004B47FD"/>
    <w:rsid w:val="004B75CB"/>
    <w:rsid w:val="004C3296"/>
    <w:rsid w:val="004C6077"/>
    <w:rsid w:val="004E0FB5"/>
    <w:rsid w:val="004E69BA"/>
    <w:rsid w:val="004F2ABC"/>
    <w:rsid w:val="004F3525"/>
    <w:rsid w:val="004F6BA4"/>
    <w:rsid w:val="0050190D"/>
    <w:rsid w:val="00504E16"/>
    <w:rsid w:val="00506D40"/>
    <w:rsid w:val="005111D5"/>
    <w:rsid w:val="00522BA3"/>
    <w:rsid w:val="0055778C"/>
    <w:rsid w:val="0056255D"/>
    <w:rsid w:val="00570C7E"/>
    <w:rsid w:val="00591900"/>
    <w:rsid w:val="00594C53"/>
    <w:rsid w:val="005A5265"/>
    <w:rsid w:val="005D21F9"/>
    <w:rsid w:val="005F0684"/>
    <w:rsid w:val="005F7BD6"/>
    <w:rsid w:val="0061372E"/>
    <w:rsid w:val="00625AF9"/>
    <w:rsid w:val="00625D73"/>
    <w:rsid w:val="00631314"/>
    <w:rsid w:val="00640990"/>
    <w:rsid w:val="00650F54"/>
    <w:rsid w:val="00655758"/>
    <w:rsid w:val="00664A99"/>
    <w:rsid w:val="00665735"/>
    <w:rsid w:val="00676578"/>
    <w:rsid w:val="006808BF"/>
    <w:rsid w:val="0069386E"/>
    <w:rsid w:val="0069661E"/>
    <w:rsid w:val="006A48B3"/>
    <w:rsid w:val="006B7FBA"/>
    <w:rsid w:val="006C062F"/>
    <w:rsid w:val="006C537E"/>
    <w:rsid w:val="006C6D60"/>
    <w:rsid w:val="006D0D26"/>
    <w:rsid w:val="006D2D51"/>
    <w:rsid w:val="006D33DF"/>
    <w:rsid w:val="006D35AD"/>
    <w:rsid w:val="006E7DA5"/>
    <w:rsid w:val="006F50F4"/>
    <w:rsid w:val="006F7535"/>
    <w:rsid w:val="006F75E8"/>
    <w:rsid w:val="007029DB"/>
    <w:rsid w:val="00704002"/>
    <w:rsid w:val="007059B8"/>
    <w:rsid w:val="00710863"/>
    <w:rsid w:val="0071532A"/>
    <w:rsid w:val="0074750E"/>
    <w:rsid w:val="00757269"/>
    <w:rsid w:val="00757DF1"/>
    <w:rsid w:val="00761936"/>
    <w:rsid w:val="00770BF7"/>
    <w:rsid w:val="00780FAB"/>
    <w:rsid w:val="00793ABE"/>
    <w:rsid w:val="00796768"/>
    <w:rsid w:val="00796D2F"/>
    <w:rsid w:val="007A501C"/>
    <w:rsid w:val="007A6481"/>
    <w:rsid w:val="007B458A"/>
    <w:rsid w:val="007C72AE"/>
    <w:rsid w:val="007D06A9"/>
    <w:rsid w:val="007D76AC"/>
    <w:rsid w:val="008139F6"/>
    <w:rsid w:val="00814019"/>
    <w:rsid w:val="00814429"/>
    <w:rsid w:val="00817314"/>
    <w:rsid w:val="00823261"/>
    <w:rsid w:val="00826A42"/>
    <w:rsid w:val="00835ED1"/>
    <w:rsid w:val="00865B99"/>
    <w:rsid w:val="00866BDF"/>
    <w:rsid w:val="00873481"/>
    <w:rsid w:val="00887430"/>
    <w:rsid w:val="0089189F"/>
    <w:rsid w:val="008A5347"/>
    <w:rsid w:val="008A7017"/>
    <w:rsid w:val="008C2D04"/>
    <w:rsid w:val="008D0A52"/>
    <w:rsid w:val="008D125C"/>
    <w:rsid w:val="008E7F58"/>
    <w:rsid w:val="008F36D6"/>
    <w:rsid w:val="008F5ABE"/>
    <w:rsid w:val="008F78F7"/>
    <w:rsid w:val="009004C2"/>
    <w:rsid w:val="00911350"/>
    <w:rsid w:val="00915793"/>
    <w:rsid w:val="009216ED"/>
    <w:rsid w:val="00941887"/>
    <w:rsid w:val="009448DB"/>
    <w:rsid w:val="00945386"/>
    <w:rsid w:val="0095219D"/>
    <w:rsid w:val="00952A2B"/>
    <w:rsid w:val="0095375D"/>
    <w:rsid w:val="009612CF"/>
    <w:rsid w:val="00966AD6"/>
    <w:rsid w:val="00967512"/>
    <w:rsid w:val="00976774"/>
    <w:rsid w:val="0098089C"/>
    <w:rsid w:val="00981855"/>
    <w:rsid w:val="009828D2"/>
    <w:rsid w:val="00983941"/>
    <w:rsid w:val="00985082"/>
    <w:rsid w:val="0099654A"/>
    <w:rsid w:val="009A7B81"/>
    <w:rsid w:val="009B434B"/>
    <w:rsid w:val="009C3EFE"/>
    <w:rsid w:val="009C5145"/>
    <w:rsid w:val="009D10A4"/>
    <w:rsid w:val="009E0AC4"/>
    <w:rsid w:val="009E2C2E"/>
    <w:rsid w:val="009E58FA"/>
    <w:rsid w:val="009E7347"/>
    <w:rsid w:val="009F65C1"/>
    <w:rsid w:val="009F670D"/>
    <w:rsid w:val="009F7EED"/>
    <w:rsid w:val="00A35622"/>
    <w:rsid w:val="00A36FDE"/>
    <w:rsid w:val="00A43C86"/>
    <w:rsid w:val="00A46A10"/>
    <w:rsid w:val="00A46B0E"/>
    <w:rsid w:val="00A46D57"/>
    <w:rsid w:val="00A51BDF"/>
    <w:rsid w:val="00A7544C"/>
    <w:rsid w:val="00A76681"/>
    <w:rsid w:val="00A81D1B"/>
    <w:rsid w:val="00A86739"/>
    <w:rsid w:val="00AA51AB"/>
    <w:rsid w:val="00AB5E10"/>
    <w:rsid w:val="00AB6400"/>
    <w:rsid w:val="00AD7AD7"/>
    <w:rsid w:val="00AE535F"/>
    <w:rsid w:val="00AE57C2"/>
    <w:rsid w:val="00AF0331"/>
    <w:rsid w:val="00AF7808"/>
    <w:rsid w:val="00B053AB"/>
    <w:rsid w:val="00B1718F"/>
    <w:rsid w:val="00B2262C"/>
    <w:rsid w:val="00B2317E"/>
    <w:rsid w:val="00B35DB8"/>
    <w:rsid w:val="00B37583"/>
    <w:rsid w:val="00B4111D"/>
    <w:rsid w:val="00B603B8"/>
    <w:rsid w:val="00B62DF9"/>
    <w:rsid w:val="00B8552B"/>
    <w:rsid w:val="00B8687C"/>
    <w:rsid w:val="00B933AD"/>
    <w:rsid w:val="00BA7FA6"/>
    <w:rsid w:val="00BB2F99"/>
    <w:rsid w:val="00BB414E"/>
    <w:rsid w:val="00BC5C34"/>
    <w:rsid w:val="00BE7B86"/>
    <w:rsid w:val="00BF712B"/>
    <w:rsid w:val="00C07F48"/>
    <w:rsid w:val="00C14F9A"/>
    <w:rsid w:val="00C163A3"/>
    <w:rsid w:val="00C16A24"/>
    <w:rsid w:val="00C25D0C"/>
    <w:rsid w:val="00C26FFC"/>
    <w:rsid w:val="00C323B9"/>
    <w:rsid w:val="00C35FDB"/>
    <w:rsid w:val="00C3657C"/>
    <w:rsid w:val="00C37133"/>
    <w:rsid w:val="00C44031"/>
    <w:rsid w:val="00C47D8D"/>
    <w:rsid w:val="00C50DD3"/>
    <w:rsid w:val="00C52A0E"/>
    <w:rsid w:val="00C61E66"/>
    <w:rsid w:val="00C640F3"/>
    <w:rsid w:val="00C66F66"/>
    <w:rsid w:val="00C673DA"/>
    <w:rsid w:val="00C94D6C"/>
    <w:rsid w:val="00CA535F"/>
    <w:rsid w:val="00CB1D1E"/>
    <w:rsid w:val="00CB2D98"/>
    <w:rsid w:val="00CB4015"/>
    <w:rsid w:val="00CB4269"/>
    <w:rsid w:val="00CC2594"/>
    <w:rsid w:val="00CC4D5C"/>
    <w:rsid w:val="00CE0EEA"/>
    <w:rsid w:val="00CF5CAC"/>
    <w:rsid w:val="00D01346"/>
    <w:rsid w:val="00D017A1"/>
    <w:rsid w:val="00D01AAA"/>
    <w:rsid w:val="00D13484"/>
    <w:rsid w:val="00D15C07"/>
    <w:rsid w:val="00D3314E"/>
    <w:rsid w:val="00D35C0F"/>
    <w:rsid w:val="00D35F86"/>
    <w:rsid w:val="00D42BD4"/>
    <w:rsid w:val="00D438A1"/>
    <w:rsid w:val="00D550E6"/>
    <w:rsid w:val="00D5526D"/>
    <w:rsid w:val="00D571E4"/>
    <w:rsid w:val="00DA02F3"/>
    <w:rsid w:val="00DA3532"/>
    <w:rsid w:val="00DB05D9"/>
    <w:rsid w:val="00DB2CE0"/>
    <w:rsid w:val="00DB413A"/>
    <w:rsid w:val="00DB62EA"/>
    <w:rsid w:val="00DD0F4B"/>
    <w:rsid w:val="00DE0795"/>
    <w:rsid w:val="00DE4A7B"/>
    <w:rsid w:val="00DE7397"/>
    <w:rsid w:val="00DF3F74"/>
    <w:rsid w:val="00DF562E"/>
    <w:rsid w:val="00E02978"/>
    <w:rsid w:val="00E0611C"/>
    <w:rsid w:val="00E243F3"/>
    <w:rsid w:val="00E2474A"/>
    <w:rsid w:val="00E26234"/>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74336"/>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840272233">
      <w:bodyDiv w:val="1"/>
      <w:marLeft w:val="0"/>
      <w:marRight w:val="0"/>
      <w:marTop w:val="0"/>
      <w:marBottom w:val="0"/>
      <w:divBdr>
        <w:top w:val="none" w:sz="0" w:space="0" w:color="auto"/>
        <w:left w:val="none" w:sz="0" w:space="0" w:color="auto"/>
        <w:bottom w:val="none" w:sz="0" w:space="0" w:color="auto"/>
        <w:right w:val="none" w:sz="0" w:space="0" w:color="auto"/>
      </w:divBdr>
    </w:div>
    <w:div w:id="20692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9</Pages>
  <Words>1855</Words>
  <Characters>10205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29</cp:revision>
  <cp:lastPrinted>2018-05-24T19:57:00Z</cp:lastPrinted>
  <dcterms:created xsi:type="dcterms:W3CDTF">2020-08-20T09:45:00Z</dcterms:created>
  <dcterms:modified xsi:type="dcterms:W3CDTF">2021-11-09T21:36:00Z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656313962</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