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5225D24E" w:rsidR="007B458A" w:rsidRPr="000C5F9A"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Pr="000C5F9A">
        <w:br/>
      </w:r>
      <w:r w:rsidR="00211CE7" w:rsidRPr="000C5F9A">
        <w:t>PAR-</w:t>
      </w:r>
      <w:r w:rsidRPr="000C5F9A">
        <w:t xml:space="preserve">DEVANT LE TRIBUNAL </w:t>
      </w:r>
      <w:r w:rsidR="00577A0D">
        <w:t>DE COMMERCE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01A6239D" w:rsidR="00C640F3" w:rsidRPr="000C5F9A" w:rsidRDefault="00C640F3" w:rsidP="007B458A">
      <w:r w:rsidRPr="000C5F9A">
        <w:rPr>
          <w:b/>
          <w:u w:val="single"/>
        </w:rPr>
        <w:t>Ayant pour avocat</w:t>
      </w:r>
      <w:r w:rsidR="001328AC">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lastRenderedPageBreak/>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6148D141" w:rsidR="007B458A" w:rsidRPr="000C5F9A" w:rsidRDefault="00AF0331" w:rsidP="008E7D22">
      <w:pPr>
        <w:jc w:val="center"/>
        <w:rPr>
          <w:b/>
        </w:rPr>
      </w:pPr>
      <w:r w:rsidRPr="000C5F9A">
        <w:rPr>
          <w:b/>
        </w:rPr>
        <w:t xml:space="preserve">Par-devant le Tribunal </w:t>
      </w:r>
      <w:r w:rsidR="006A7CDA">
        <w:rPr>
          <w:b/>
        </w:rPr>
        <w:t>de commerce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6A7CDA">
        <w:rPr>
          <w:b/>
        </w:rPr>
        <w:t xml:space="preserve">sis </w:t>
      </w:r>
      <w:r w:rsidR="006A7CDA" w:rsidRPr="000C5F9A">
        <w:rPr>
          <w:b/>
          <w:i/>
        </w:rPr>
        <w:t>[adresse]</w:t>
      </w:r>
      <w:r w:rsidR="006A7CDA">
        <w:rPr>
          <w:b/>
          <w:i/>
        </w:rPr>
        <w:t xml:space="preserve">, </w:t>
      </w:r>
      <w:r w:rsidR="00F00216" w:rsidRPr="000C5F9A">
        <w:rPr>
          <w:b/>
        </w:rPr>
        <w:t>siégeant en la salle</w:t>
      </w:r>
      <w:r w:rsidR="00EF7135" w:rsidRPr="000C5F9A">
        <w:rPr>
          <w:b/>
        </w:rPr>
        <w:t xml:space="preserve"> ordinaire de ses audiences</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366E070D" w14:textId="77777777" w:rsidR="00E6348E" w:rsidRPr="000C5F9A" w:rsidRDefault="00E6348E" w:rsidP="007B458A"/>
    <w:p w14:paraId="6155DC4E" w14:textId="10BCEFBA"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5F199B1" w14:textId="77777777"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16D7AC8F" w14:textId="74CD83BD"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 xml:space="preserve">Que </w:t>
      </w:r>
      <w:r w:rsidR="00F00216" w:rsidRPr="000C5F9A">
        <w:t xml:space="preserve">conformément aux articles 54, </w:t>
      </w:r>
      <w:r w:rsidR="00C57B40" w:rsidRPr="000C5F9A">
        <w:t>56</w:t>
      </w:r>
      <w:r w:rsidR="00244AD2">
        <w:t xml:space="preserve"> et</w:t>
      </w:r>
      <w:r w:rsidR="00C57B40" w:rsidRPr="000C5F9A">
        <w:t xml:space="preserve"> </w:t>
      </w:r>
      <w:r w:rsidR="00244AD2">
        <w:t>853</w:t>
      </w:r>
      <w:r w:rsidR="00F00216" w:rsidRPr="000C5F9A">
        <w:t xml:space="preserve"> </w:t>
      </w:r>
      <w:r w:rsidR="00C57B40" w:rsidRPr="000C5F9A">
        <w:t>du C</w:t>
      </w:r>
      <w:r w:rsidRPr="000C5F9A">
        <w:t>ode de procédure civile, il est tenu de constituer avocat pour être représenté par</w:t>
      </w:r>
      <w:r w:rsidR="009004C2" w:rsidRPr="000C5F9A">
        <w:t>-</w:t>
      </w:r>
      <w:r w:rsidRPr="000C5F9A">
        <w:t>devant ce tribunal.</w:t>
      </w:r>
    </w:p>
    <w:p w14:paraId="6B039EC5" w14:textId="37C3851B" w:rsidR="0071532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p>
    <w:p w14:paraId="62D62E8E" w14:textId="1EA22DED" w:rsidR="00072443" w:rsidRDefault="00072443" w:rsidP="00E567E3">
      <w:pPr>
        <w:pBdr>
          <w:top w:val="single" w:sz="4" w:space="1" w:color="auto"/>
          <w:left w:val="single" w:sz="4" w:space="1" w:color="auto"/>
          <w:bottom w:val="single" w:sz="4" w:space="1" w:color="auto"/>
          <w:right w:val="single" w:sz="4" w:space="1" w:color="auto"/>
        </w:pBdr>
        <w:shd w:val="clear" w:color="auto" w:fill="E7E6E6" w:themeFill="background2"/>
      </w:pPr>
      <w:r w:rsidRPr="00072443">
        <w:t>Que l’État, les départements, les régions, les communes et les établissements publics peuvent se faire représenter ou assister par un fonctionnaire ou un agent de leur administration.</w:t>
      </w:r>
    </w:p>
    <w:p w14:paraId="14835705" w14:textId="77777777" w:rsidR="00072443" w:rsidRPr="000C5F9A" w:rsidRDefault="00072443" w:rsidP="00E567E3">
      <w:pPr>
        <w:pBdr>
          <w:top w:val="single" w:sz="4" w:space="1" w:color="auto"/>
          <w:left w:val="single" w:sz="4" w:space="1" w:color="auto"/>
          <w:bottom w:val="single" w:sz="4" w:space="1" w:color="auto"/>
          <w:right w:val="single" w:sz="4" w:space="1" w:color="auto"/>
        </w:pBdr>
        <w:shd w:val="clear" w:color="auto" w:fill="E7E6E6" w:themeFill="background2"/>
      </w:pPr>
    </w:p>
    <w:p w14:paraId="04EEEDF2" w14:textId="3CCCFD50" w:rsidR="0071532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w:t>
      </w:r>
      <w:r w:rsidR="0001715E" w:rsidRPr="000C5F9A">
        <w:t>,</w:t>
      </w:r>
      <w:r w:rsidRPr="000C5F9A">
        <w:t xml:space="preserve"> il s’expose à ce qu’un jugement soit rendu contre lui sur les seuls éléments fournis par son adversaire.</w:t>
      </w:r>
    </w:p>
    <w:p w14:paraId="1F1EC200" w14:textId="7A054EF7" w:rsidR="00DA0D9F" w:rsidRDefault="00DA0D9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38B3592F" w14:textId="0E700EBE" w:rsidR="00DA0D9F" w:rsidRDefault="00DA0D9F" w:rsidP="00E567E3">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316AE2F7" w14:textId="77777777" w:rsidR="004975DA" w:rsidRPr="000C5F9A" w:rsidRDefault="004975DA"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43E4B75" w14:textId="18A1535B" w:rsidR="00C26FFC"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007937E" w14:textId="024DCE0A"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0277161"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860-1</w:t>
      </w:r>
    </w:p>
    <w:p w14:paraId="077B7F52"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AAA5FC0" w14:textId="1D7E0B12"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procédure est orale.</w:t>
      </w:r>
    </w:p>
    <w:p w14:paraId="73D200A2"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ABDAD8D" w14:textId="0A3EBF31"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860-2</w:t>
      </w:r>
    </w:p>
    <w:p w14:paraId="243973D3"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B7C761" w14:textId="5A6F4BD9"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Si une conciliation entre les parties apparaît envisageable, la formation de jugement peut désigner un conciliateur de justice à cette fin. Cette désignation peut revêtir la forme d'une simple mention au dossier.</w:t>
      </w:r>
    </w:p>
    <w:p w14:paraId="03C105E5"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D3FFD87" w14:textId="4DDB204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lastRenderedPageBreak/>
        <w:t>Article 861</w:t>
      </w:r>
    </w:p>
    <w:p w14:paraId="6A72BB47"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CB24F1" w14:textId="10E145D0"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En l'absence de conciliation, si l'affaire n'est pas en état d'être jugée, la formation de jugement la renvoie à une prochaine audience ou confie à l'un de ses membres le soin de l'instruire.</w:t>
      </w:r>
    </w:p>
    <w:p w14:paraId="256AC1D6"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0550EFD" w14:textId="73B5EDA5"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A moins que l'affaire ne soit jugée dès la première audience, le greffier avise par tous moyens les parties qui ne l'auraient pas été verbalement de la date des audiences ultérieures.</w:t>
      </w:r>
    </w:p>
    <w:p w14:paraId="41E2B506"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094BE53" w14:textId="7846CFE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861-1</w:t>
      </w:r>
    </w:p>
    <w:p w14:paraId="4FA2BDF0"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7AA2988" w14:textId="68186183"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formation de jugement qui organise les échanges entre les parties comparantes peut, conformément au second alinéa de l'article 446-1, dispenser une partie qui en fait la demande de se présenter à une audience ultérieure. Dans ce cas, la communication entre les parties est faite par lettre recommandée avec demande d'avis de réception ou par notification entre avocats et il en est justifié auprès du tribunal dans les délais qu'il impartit.</w:t>
      </w:r>
    </w:p>
    <w:p w14:paraId="0A61D8BA"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1EB089C"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5C153FD"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19DF349" w14:textId="654B467B"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13DBD638"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DE60788" w14:textId="038B339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F0FC438" w14:textId="3AE756D6"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FB15F3" w14:textId="6740E7EF" w:rsidR="001409B3" w:rsidRP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AD5D482" w14:textId="7EFF7152"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8AB3FFD" w14:textId="2BC1217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62A663DE" w14:textId="77777777"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74FCE8D"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5BB3CD2A"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BD2AB36"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7BFF001E"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0B4865F"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2893AD93"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476A9AF"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7587648"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7BE5FE7"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1D720027"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91BDED1" w14:textId="08221B3E" w:rsidR="00BA7BEF" w:rsidRDefault="001409B3" w:rsidP="00DA0D9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1F7BD684" w14:textId="6CE15A3F" w:rsidR="0070183A" w:rsidRDefault="0070183A" w:rsidP="00DA0D9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C49561D" w14:textId="77777777" w:rsidR="0070183A" w:rsidRDefault="0070183A" w:rsidP="0070183A">
      <w:pPr>
        <w:shd w:val="clear" w:color="auto" w:fill="FFFFFF" w:themeFill="background1"/>
        <w:jc w:val="center"/>
        <w:rPr>
          <w:b/>
          <w:bCs/>
          <w:i/>
          <w:szCs w:val="24"/>
        </w:rPr>
      </w:pPr>
    </w:p>
    <w:p w14:paraId="54CFC27B" w14:textId="62B85F6A" w:rsidR="0070183A" w:rsidRDefault="0070183A" w:rsidP="0070183A">
      <w:pPr>
        <w:shd w:val="clear" w:color="auto" w:fill="FFFFFF" w:themeFill="background1"/>
        <w:jc w:val="center"/>
        <w:rPr>
          <w:b/>
          <w:bCs/>
          <w:i/>
          <w:szCs w:val="24"/>
        </w:rPr>
      </w:pPr>
    </w:p>
    <w:p w14:paraId="56314E08" w14:textId="3C8B71A8" w:rsidR="00BA7A76" w:rsidRDefault="00BA7A76" w:rsidP="0070183A">
      <w:pPr>
        <w:shd w:val="clear" w:color="auto" w:fill="FFFFFF" w:themeFill="background1"/>
        <w:jc w:val="center"/>
        <w:rPr>
          <w:b/>
          <w:bCs/>
          <w:i/>
          <w:szCs w:val="24"/>
        </w:rPr>
      </w:pPr>
    </w:p>
    <w:p w14:paraId="4C941153" w14:textId="67696814" w:rsidR="00BA7A76" w:rsidRDefault="00BA7A76" w:rsidP="0070183A">
      <w:pPr>
        <w:shd w:val="clear" w:color="auto" w:fill="FFFFFF" w:themeFill="background1"/>
        <w:jc w:val="center"/>
        <w:rPr>
          <w:b/>
          <w:bCs/>
          <w:i/>
          <w:szCs w:val="24"/>
        </w:rPr>
      </w:pPr>
    </w:p>
    <w:p w14:paraId="51CAB9AE" w14:textId="77777777" w:rsidR="00BA7A76" w:rsidRDefault="00BA7A76" w:rsidP="0070183A">
      <w:pPr>
        <w:shd w:val="clear" w:color="auto" w:fill="FFFFFF" w:themeFill="background1"/>
        <w:jc w:val="center"/>
        <w:rPr>
          <w:b/>
          <w:bCs/>
          <w:i/>
          <w:szCs w:val="24"/>
        </w:rPr>
      </w:pPr>
    </w:p>
    <w:p w14:paraId="459C065A" w14:textId="54798428" w:rsidR="0070183A" w:rsidRPr="004B6A61" w:rsidRDefault="0070183A" w:rsidP="0070183A">
      <w:pPr>
        <w:shd w:val="clear" w:color="auto" w:fill="FFFFFF" w:themeFill="background1"/>
        <w:jc w:val="center"/>
        <w:rPr>
          <w:b/>
          <w:bCs/>
          <w:i/>
          <w:szCs w:val="24"/>
        </w:rPr>
      </w:pPr>
      <w:r w:rsidRPr="004B6A61">
        <w:rPr>
          <w:b/>
          <w:bCs/>
          <w:i/>
          <w:szCs w:val="24"/>
        </w:rPr>
        <w:t>[Si demande en justice visant, en matière immobilière, à remettre en cause des droits soumis à publicité foncière]</w:t>
      </w:r>
    </w:p>
    <w:p w14:paraId="0DAC8390" w14:textId="77777777" w:rsidR="0070183A" w:rsidRPr="004B6A61" w:rsidRDefault="0070183A" w:rsidP="0070183A">
      <w:pPr>
        <w:shd w:val="clear" w:color="auto" w:fill="FFFFFF" w:themeFill="background1"/>
        <w:rPr>
          <w:iCs/>
          <w:szCs w:val="24"/>
        </w:rPr>
      </w:pPr>
    </w:p>
    <w:p w14:paraId="2E3FEF20" w14:textId="77777777" w:rsidR="0070183A" w:rsidRPr="004B6A61" w:rsidRDefault="0070183A" w:rsidP="0070183A">
      <w:pPr>
        <w:shd w:val="clear" w:color="auto" w:fill="FFFFFF" w:themeFill="background1"/>
        <w:rPr>
          <w:iCs/>
          <w:szCs w:val="24"/>
        </w:rPr>
      </w:pPr>
      <w:r w:rsidRPr="004B6A61">
        <w:rPr>
          <w:iCs/>
          <w:szCs w:val="24"/>
        </w:rPr>
        <w:t xml:space="preserve">Lorsque la demande en justice doit faire l’objet d’une publication, </w:t>
      </w:r>
      <w:r w:rsidRPr="004B6A61">
        <w:rPr>
          <w:iCs/>
          <w:szCs w:val="24"/>
          <w:u w:val="single"/>
        </w:rPr>
        <w:t>l’article 54, 4°</w:t>
      </w:r>
      <w:r w:rsidRPr="004B6A61">
        <w:rPr>
          <w:iCs/>
          <w:szCs w:val="24"/>
        </w:rPr>
        <w:t xml:space="preserve"> du Code de procédure civile, exige que soient reproduites les mentions relatives à la désignation des immeubles exigées pour la publication au fichier immobilier qui figurent à </w:t>
      </w:r>
      <w:hyperlink r:id="rId7" w:history="1">
        <w:r w:rsidRPr="004B6A61">
          <w:rPr>
            <w:rStyle w:val="Lienhypertexte"/>
            <w:iCs/>
            <w:szCs w:val="24"/>
          </w:rPr>
          <w:t>l’article 76</w:t>
        </w:r>
      </w:hyperlink>
      <w:r w:rsidRPr="004B6A61">
        <w:rPr>
          <w:iCs/>
          <w:szCs w:val="24"/>
        </w:rPr>
        <w:t xml:space="preserve"> du </w:t>
      </w:r>
      <w:hyperlink r:id="rId8" w:history="1">
        <w:r w:rsidRPr="004B6A61">
          <w:rPr>
            <w:rStyle w:val="Lienhypertexte"/>
            <w:iCs/>
            <w:szCs w:val="24"/>
          </w:rPr>
          <w:t>décret n°55-1350 du 14 octobre 1955</w:t>
        </w:r>
      </w:hyperlink>
      <w:r w:rsidRPr="004B6A61">
        <w:rPr>
          <w:iCs/>
          <w:szCs w:val="24"/>
        </w:rPr>
        <w:t>.</w:t>
      </w:r>
    </w:p>
    <w:p w14:paraId="65C560DC" w14:textId="77777777" w:rsidR="0070183A" w:rsidRPr="004B6A61" w:rsidRDefault="0070183A" w:rsidP="0070183A">
      <w:pPr>
        <w:shd w:val="clear" w:color="auto" w:fill="FFFFFF" w:themeFill="background1"/>
        <w:rPr>
          <w:iCs/>
          <w:szCs w:val="24"/>
        </w:rPr>
      </w:pPr>
    </w:p>
    <w:p w14:paraId="1C5009FE" w14:textId="4164BB41" w:rsidR="0070183A" w:rsidRPr="0070183A" w:rsidRDefault="0070183A" w:rsidP="0070183A">
      <w:pPr>
        <w:shd w:val="clear" w:color="auto" w:fill="FFFFFF" w:themeFill="background1"/>
        <w:rPr>
          <w:iCs/>
          <w:szCs w:val="24"/>
        </w:rPr>
      </w:pPr>
      <w:r w:rsidRPr="004B6A61">
        <w:rPr>
          <w:iCs/>
          <w:szCs w:val="24"/>
        </w:rPr>
        <w:t>Dans un arrêt du 7 novembre 2012, la Cour de cassation est venue préciser que « </w:t>
      </w:r>
      <w:r w:rsidRPr="004B6A61">
        <w:rPr>
          <w:i/>
          <w:szCs w:val="24"/>
        </w:rPr>
        <w:t>le défaut de publication d'une demande tendant à l'annulation de droits résultant d'actes soumis à publicité constitue une fin de non-recevoir et non un vice de forme en affectant la validité</w:t>
      </w:r>
      <w:r w:rsidRPr="004B6A61">
        <w:rPr>
          <w:iCs/>
          <w:szCs w:val="24"/>
        </w:rPr>
        <w:t> » (</w:t>
      </w:r>
      <w:hyperlink r:id="rId9" w:history="1">
        <w:r w:rsidRPr="004B6A61">
          <w:rPr>
            <w:rStyle w:val="Lienhypertexte"/>
            <w:i/>
            <w:szCs w:val="24"/>
          </w:rPr>
          <w:t>Cass. 1</w:t>
        </w:r>
        <w:r w:rsidRPr="004B6A61">
          <w:rPr>
            <w:rStyle w:val="Lienhypertexte"/>
            <w:i/>
            <w:szCs w:val="24"/>
            <w:vertAlign w:val="superscript"/>
          </w:rPr>
          <w:t>ère</w:t>
        </w:r>
        <w:r w:rsidRPr="004B6A61">
          <w:rPr>
            <w:rStyle w:val="Lienhypertexte"/>
            <w:i/>
            <w:szCs w:val="24"/>
          </w:rPr>
          <w:t xml:space="preserve"> civ. 7 nov. 2012, n°11-22.275</w:t>
        </w:r>
      </w:hyperlink>
      <w:r w:rsidRPr="004B6A61">
        <w:rPr>
          <w:iCs/>
          <w:szCs w:val="24"/>
        </w:rPr>
        <w:t>).</w:t>
      </w:r>
    </w:p>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PLAISE AU TRIBUNAL</w:t>
      </w:r>
    </w:p>
    <w:p w14:paraId="7056C11F" w14:textId="77777777" w:rsidR="00173143" w:rsidRDefault="00173143" w:rsidP="007B458A"/>
    <w:p w14:paraId="4EBA3AAE" w14:textId="77777777" w:rsidR="005C4676" w:rsidRDefault="005C4676" w:rsidP="005C4676">
      <w:r w:rsidRPr="009A2263">
        <w:t xml:space="preserve">Préalablement </w:t>
      </w:r>
      <w:r>
        <w:t xml:space="preserve">à la saisine du Tribunal de céans, </w:t>
      </w:r>
      <w:r w:rsidRPr="009A2263">
        <w:rPr>
          <w:i/>
        </w:rPr>
        <w:t>[identité du demandeur]</w:t>
      </w:r>
      <w:r>
        <w:t xml:space="preserve"> a tenté de résoudre amiablement le litige en proposant à </w:t>
      </w:r>
      <w:r w:rsidRPr="009A2263">
        <w:rPr>
          <w:i/>
        </w:rPr>
        <w:t>[identité du défendeur]</w:t>
      </w:r>
      <w:r>
        <w:t xml:space="preserve"> de </w:t>
      </w:r>
      <w:r w:rsidRPr="009A2263">
        <w:rPr>
          <w:i/>
        </w:rPr>
        <w:t>[préciser les diligences accomplies]</w:t>
      </w:r>
      <w:r>
        <w:t> :</w:t>
      </w:r>
    </w:p>
    <w:p w14:paraId="596A1467" w14:textId="77777777" w:rsidR="005C4676" w:rsidRDefault="005C4676" w:rsidP="005C4676"/>
    <w:p w14:paraId="559DA289" w14:textId="77777777" w:rsidR="005C4676" w:rsidRPr="009A2263" w:rsidRDefault="005C4676" w:rsidP="005C4676">
      <w:r>
        <w:t xml:space="preserve">Toutefois, cette tentative de règlement amiable n’a pas abouti pour les raisons suivantes : </w:t>
      </w:r>
      <w:r w:rsidRPr="009A2263">
        <w:rPr>
          <w:i/>
        </w:rPr>
        <w:t>[préciser les raisons de l’échec]</w:t>
      </w:r>
    </w:p>
    <w:p w14:paraId="2C6B64B0" w14:textId="2AF1B760" w:rsidR="00FA1231" w:rsidRDefault="00FA1231" w:rsidP="007B458A"/>
    <w:p w14:paraId="1614BACA" w14:textId="77777777" w:rsidR="005C4676" w:rsidRPr="000C5F9A" w:rsidRDefault="005C4676"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5992E367" w:rsidR="00C35FDB" w:rsidRPr="000C5F9A" w:rsidRDefault="00C35FDB" w:rsidP="007B458A">
      <w:r w:rsidRPr="000C5F9A">
        <w:t xml:space="preserve">Il est demandé au Tribunal </w:t>
      </w:r>
      <w:r w:rsidR="00DC305E">
        <w:t>de commerce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FAA2" w14:textId="77777777" w:rsidR="0074111A" w:rsidRDefault="0074111A">
      <w:r>
        <w:separator/>
      </w:r>
    </w:p>
  </w:endnote>
  <w:endnote w:type="continuationSeparator" w:id="0">
    <w:p w14:paraId="05D777F2" w14:textId="77777777" w:rsidR="0074111A" w:rsidRDefault="0074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61A15">
      <w:rPr>
        <w:rStyle w:val="Numrodepage"/>
        <w:noProof/>
        <w:sz w:val="20"/>
      </w:rPr>
      <w:t>8</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F61A15">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D59F" w14:textId="77777777" w:rsidR="0074111A" w:rsidRDefault="0074111A">
      <w:r>
        <w:separator/>
      </w:r>
    </w:p>
  </w:footnote>
  <w:footnote w:type="continuationSeparator" w:id="0">
    <w:p w14:paraId="1852F664" w14:textId="77777777" w:rsidR="0074111A" w:rsidRDefault="0074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8"/>
  </w:num>
  <w:num w:numId="5">
    <w:abstractNumId w:val="1"/>
  </w:num>
  <w:num w:numId="6">
    <w:abstractNumId w:val="6"/>
  </w:num>
  <w:num w:numId="7">
    <w:abstractNumId w:val="13"/>
  </w:num>
  <w:num w:numId="8">
    <w:abstractNumId w:val="4"/>
  </w:num>
  <w:num w:numId="9">
    <w:abstractNumId w:val="10"/>
  </w:num>
  <w:num w:numId="10">
    <w:abstractNumId w:val="11"/>
  </w:num>
  <w:num w:numId="11">
    <w:abstractNumId w:val="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443"/>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328AC"/>
    <w:rsid w:val="001361CD"/>
    <w:rsid w:val="001409B3"/>
    <w:rsid w:val="00173143"/>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44AD2"/>
    <w:rsid w:val="00257495"/>
    <w:rsid w:val="00263BC7"/>
    <w:rsid w:val="00272090"/>
    <w:rsid w:val="0027272B"/>
    <w:rsid w:val="00272756"/>
    <w:rsid w:val="002762A5"/>
    <w:rsid w:val="00280BA5"/>
    <w:rsid w:val="00283925"/>
    <w:rsid w:val="0028404C"/>
    <w:rsid w:val="00284B68"/>
    <w:rsid w:val="00285E17"/>
    <w:rsid w:val="00290A87"/>
    <w:rsid w:val="002A4480"/>
    <w:rsid w:val="002B0463"/>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25068"/>
    <w:rsid w:val="0044570C"/>
    <w:rsid w:val="00446E13"/>
    <w:rsid w:val="00453ADA"/>
    <w:rsid w:val="00463B00"/>
    <w:rsid w:val="00470DF8"/>
    <w:rsid w:val="004731E2"/>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31A0"/>
    <w:rsid w:val="0055778C"/>
    <w:rsid w:val="0056255D"/>
    <w:rsid w:val="00570C7E"/>
    <w:rsid w:val="00577A0D"/>
    <w:rsid w:val="00594C53"/>
    <w:rsid w:val="005A0DB1"/>
    <w:rsid w:val="005C4676"/>
    <w:rsid w:val="005E2B34"/>
    <w:rsid w:val="005F2EBE"/>
    <w:rsid w:val="005F7BD6"/>
    <w:rsid w:val="0061372E"/>
    <w:rsid w:val="00625D73"/>
    <w:rsid w:val="00640990"/>
    <w:rsid w:val="00655758"/>
    <w:rsid w:val="0069386E"/>
    <w:rsid w:val="006A48B3"/>
    <w:rsid w:val="006A7CDA"/>
    <w:rsid w:val="006C062F"/>
    <w:rsid w:val="006C236C"/>
    <w:rsid w:val="006C6D60"/>
    <w:rsid w:val="006D0D26"/>
    <w:rsid w:val="006D33DF"/>
    <w:rsid w:val="006D35AD"/>
    <w:rsid w:val="006E7DA5"/>
    <w:rsid w:val="006F50F4"/>
    <w:rsid w:val="006F7535"/>
    <w:rsid w:val="0070183A"/>
    <w:rsid w:val="007149D8"/>
    <w:rsid w:val="0071532A"/>
    <w:rsid w:val="00731E6D"/>
    <w:rsid w:val="0074111A"/>
    <w:rsid w:val="0074750E"/>
    <w:rsid w:val="00752B6C"/>
    <w:rsid w:val="00757269"/>
    <w:rsid w:val="00757DF1"/>
    <w:rsid w:val="00761936"/>
    <w:rsid w:val="00761FB2"/>
    <w:rsid w:val="00770BF7"/>
    <w:rsid w:val="00780FAB"/>
    <w:rsid w:val="0079240A"/>
    <w:rsid w:val="00793ABE"/>
    <w:rsid w:val="00796D2F"/>
    <w:rsid w:val="007A11DE"/>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6774"/>
    <w:rsid w:val="0098089C"/>
    <w:rsid w:val="00980B94"/>
    <w:rsid w:val="00981855"/>
    <w:rsid w:val="00983941"/>
    <w:rsid w:val="009B1EFE"/>
    <w:rsid w:val="009B434B"/>
    <w:rsid w:val="009C3EFE"/>
    <w:rsid w:val="009C5145"/>
    <w:rsid w:val="009D10A4"/>
    <w:rsid w:val="009D6A04"/>
    <w:rsid w:val="009E2C2E"/>
    <w:rsid w:val="009E58FA"/>
    <w:rsid w:val="009F65C1"/>
    <w:rsid w:val="009F670D"/>
    <w:rsid w:val="009F7CF0"/>
    <w:rsid w:val="00A12D25"/>
    <w:rsid w:val="00A16AE4"/>
    <w:rsid w:val="00A2351F"/>
    <w:rsid w:val="00A35526"/>
    <w:rsid w:val="00A36FDE"/>
    <w:rsid w:val="00A46A10"/>
    <w:rsid w:val="00A46B0E"/>
    <w:rsid w:val="00A46D57"/>
    <w:rsid w:val="00A51BDF"/>
    <w:rsid w:val="00A7544C"/>
    <w:rsid w:val="00A8179D"/>
    <w:rsid w:val="00A81D1B"/>
    <w:rsid w:val="00A86739"/>
    <w:rsid w:val="00AA4FAD"/>
    <w:rsid w:val="00AB0463"/>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A76"/>
    <w:rsid w:val="00BA7BEF"/>
    <w:rsid w:val="00BC5C34"/>
    <w:rsid w:val="00BD6ADE"/>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E0EEA"/>
    <w:rsid w:val="00D01346"/>
    <w:rsid w:val="00D017A1"/>
    <w:rsid w:val="00D01AAA"/>
    <w:rsid w:val="00D13484"/>
    <w:rsid w:val="00D16A3F"/>
    <w:rsid w:val="00D3314E"/>
    <w:rsid w:val="00D35C0F"/>
    <w:rsid w:val="00D35F86"/>
    <w:rsid w:val="00D42BD4"/>
    <w:rsid w:val="00D438A1"/>
    <w:rsid w:val="00D550E6"/>
    <w:rsid w:val="00D571E4"/>
    <w:rsid w:val="00D84809"/>
    <w:rsid w:val="00DA02F3"/>
    <w:rsid w:val="00DA0D9F"/>
    <w:rsid w:val="00DA3532"/>
    <w:rsid w:val="00DB05D9"/>
    <w:rsid w:val="00DB413A"/>
    <w:rsid w:val="00DC305E"/>
    <w:rsid w:val="00DE7397"/>
    <w:rsid w:val="00DF3F74"/>
    <w:rsid w:val="00DF562E"/>
    <w:rsid w:val="00E02978"/>
    <w:rsid w:val="00E32D33"/>
    <w:rsid w:val="00E36832"/>
    <w:rsid w:val="00E52906"/>
    <w:rsid w:val="00E54C5D"/>
    <w:rsid w:val="00E567E3"/>
    <w:rsid w:val="00E56E19"/>
    <w:rsid w:val="00E6348E"/>
    <w:rsid w:val="00E66288"/>
    <w:rsid w:val="00EA7E30"/>
    <w:rsid w:val="00EB079A"/>
    <w:rsid w:val="00EC063C"/>
    <w:rsid w:val="00EC70EF"/>
    <w:rsid w:val="00ED1CCB"/>
    <w:rsid w:val="00EF314F"/>
    <w:rsid w:val="00EF7135"/>
    <w:rsid w:val="00F00216"/>
    <w:rsid w:val="00F03BB9"/>
    <w:rsid w:val="00F053EE"/>
    <w:rsid w:val="00F11F27"/>
    <w:rsid w:val="00F164DC"/>
    <w:rsid w:val="00F16B7A"/>
    <w:rsid w:val="00F17D3F"/>
    <w:rsid w:val="00F20681"/>
    <w:rsid w:val="00F22BB7"/>
    <w:rsid w:val="00F24314"/>
    <w:rsid w:val="00F33780"/>
    <w:rsid w:val="00F35477"/>
    <w:rsid w:val="00F52010"/>
    <w:rsid w:val="00F520B1"/>
    <w:rsid w:val="00F61A15"/>
    <w:rsid w:val="00F64858"/>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5DB59BCF-1F44-43D4-81C2-2390387F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styleId="Mentionnonrsolue">
    <w:name w:val="Unresolved Mention"/>
    <w:basedOn w:val="Policepardfaut"/>
    <w:uiPriority w:val="99"/>
    <w:semiHidden/>
    <w:unhideWhenUsed/>
    <w:rsid w:val="00140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57078871">
      <w:bodyDiv w:val="1"/>
      <w:marLeft w:val="0"/>
      <w:marRight w:val="0"/>
      <w:marTop w:val="0"/>
      <w:marBottom w:val="0"/>
      <w:divBdr>
        <w:top w:val="none" w:sz="0" w:space="0" w:color="auto"/>
        <w:left w:val="none" w:sz="0" w:space="0" w:color="auto"/>
        <w:bottom w:val="none" w:sz="0" w:space="0" w:color="auto"/>
        <w:right w:val="none" w:sz="0" w:space="0" w:color="auto"/>
      </w:divBdr>
      <w:divsChild>
        <w:div w:id="1012954545">
          <w:marLeft w:val="0"/>
          <w:marRight w:val="0"/>
          <w:marTop w:val="525"/>
          <w:marBottom w:val="525"/>
          <w:divBdr>
            <w:top w:val="none" w:sz="0" w:space="0" w:color="auto"/>
            <w:left w:val="none" w:sz="0" w:space="0" w:color="auto"/>
            <w:bottom w:val="none" w:sz="0" w:space="0" w:color="auto"/>
            <w:right w:val="none" w:sz="0" w:space="0" w:color="auto"/>
          </w:divBdr>
          <w:divsChild>
            <w:div w:id="1896428923">
              <w:marLeft w:val="0"/>
              <w:marRight w:val="0"/>
              <w:marTop w:val="0"/>
              <w:marBottom w:val="150"/>
              <w:divBdr>
                <w:top w:val="none" w:sz="0" w:space="0" w:color="auto"/>
                <w:left w:val="none" w:sz="0" w:space="0" w:color="auto"/>
                <w:bottom w:val="none" w:sz="0" w:space="0" w:color="auto"/>
                <w:right w:val="none" w:sz="0" w:space="0" w:color="auto"/>
              </w:divBdr>
            </w:div>
            <w:div w:id="1499077712">
              <w:marLeft w:val="0"/>
              <w:marRight w:val="0"/>
              <w:marTop w:val="150"/>
              <w:marBottom w:val="0"/>
              <w:divBdr>
                <w:top w:val="none" w:sz="0" w:space="0" w:color="auto"/>
                <w:left w:val="none" w:sz="0" w:space="0" w:color="auto"/>
                <w:bottom w:val="none" w:sz="0" w:space="0" w:color="auto"/>
                <w:right w:val="none" w:sz="0" w:space="0" w:color="auto"/>
              </w:divBdr>
            </w:div>
          </w:divsChild>
        </w:div>
        <w:div w:id="565336853">
          <w:marLeft w:val="0"/>
          <w:marRight w:val="0"/>
          <w:marTop w:val="525"/>
          <w:marBottom w:val="525"/>
          <w:divBdr>
            <w:top w:val="none" w:sz="0" w:space="0" w:color="auto"/>
            <w:left w:val="none" w:sz="0" w:space="0" w:color="auto"/>
            <w:bottom w:val="none" w:sz="0" w:space="0" w:color="auto"/>
            <w:right w:val="none" w:sz="0" w:space="0" w:color="auto"/>
          </w:divBdr>
          <w:divsChild>
            <w:div w:id="956330813">
              <w:marLeft w:val="0"/>
              <w:marRight w:val="0"/>
              <w:marTop w:val="0"/>
              <w:marBottom w:val="150"/>
              <w:divBdr>
                <w:top w:val="none" w:sz="0" w:space="0" w:color="auto"/>
                <w:left w:val="none" w:sz="0" w:space="0" w:color="auto"/>
                <w:bottom w:val="none" w:sz="0" w:space="0" w:color="auto"/>
                <w:right w:val="none" w:sz="0" w:space="0" w:color="auto"/>
              </w:divBdr>
            </w:div>
            <w:div w:id="238829950">
              <w:marLeft w:val="0"/>
              <w:marRight w:val="0"/>
              <w:marTop w:val="150"/>
              <w:marBottom w:val="0"/>
              <w:divBdr>
                <w:top w:val="none" w:sz="0" w:space="0" w:color="auto"/>
                <w:left w:val="none" w:sz="0" w:space="0" w:color="auto"/>
                <w:bottom w:val="none" w:sz="0" w:space="0" w:color="auto"/>
                <w:right w:val="none" w:sz="0" w:space="0" w:color="auto"/>
              </w:divBdr>
            </w:div>
          </w:divsChild>
        </w:div>
        <w:div w:id="1543444770">
          <w:marLeft w:val="0"/>
          <w:marRight w:val="0"/>
          <w:marTop w:val="525"/>
          <w:marBottom w:val="525"/>
          <w:divBdr>
            <w:top w:val="none" w:sz="0" w:space="0" w:color="auto"/>
            <w:left w:val="none" w:sz="0" w:space="0" w:color="auto"/>
            <w:bottom w:val="none" w:sz="0" w:space="0" w:color="auto"/>
            <w:right w:val="none" w:sz="0" w:space="0" w:color="auto"/>
          </w:divBdr>
          <w:divsChild>
            <w:div w:id="1240868480">
              <w:marLeft w:val="0"/>
              <w:marRight w:val="0"/>
              <w:marTop w:val="0"/>
              <w:marBottom w:val="150"/>
              <w:divBdr>
                <w:top w:val="none" w:sz="0" w:space="0" w:color="auto"/>
                <w:left w:val="none" w:sz="0" w:space="0" w:color="auto"/>
                <w:bottom w:val="none" w:sz="0" w:space="0" w:color="auto"/>
                <w:right w:val="none" w:sz="0" w:space="0" w:color="auto"/>
              </w:divBdr>
            </w:div>
            <w:div w:id="71239469">
              <w:marLeft w:val="0"/>
              <w:marRight w:val="0"/>
              <w:marTop w:val="150"/>
              <w:marBottom w:val="0"/>
              <w:divBdr>
                <w:top w:val="none" w:sz="0" w:space="0" w:color="auto"/>
                <w:left w:val="none" w:sz="0" w:space="0" w:color="auto"/>
                <w:bottom w:val="none" w:sz="0" w:space="0" w:color="auto"/>
                <w:right w:val="none" w:sz="0" w:space="0" w:color="auto"/>
              </w:divBdr>
            </w:div>
          </w:divsChild>
        </w:div>
        <w:div w:id="709692910">
          <w:marLeft w:val="0"/>
          <w:marRight w:val="0"/>
          <w:marTop w:val="525"/>
          <w:marBottom w:val="525"/>
          <w:divBdr>
            <w:top w:val="none" w:sz="0" w:space="0" w:color="auto"/>
            <w:left w:val="none" w:sz="0" w:space="0" w:color="auto"/>
            <w:bottom w:val="none" w:sz="0" w:space="0" w:color="auto"/>
            <w:right w:val="none" w:sz="0" w:space="0" w:color="auto"/>
          </w:divBdr>
          <w:divsChild>
            <w:div w:id="1256017889">
              <w:marLeft w:val="0"/>
              <w:marRight w:val="0"/>
              <w:marTop w:val="0"/>
              <w:marBottom w:val="150"/>
              <w:divBdr>
                <w:top w:val="none" w:sz="0" w:space="0" w:color="auto"/>
                <w:left w:val="none" w:sz="0" w:space="0" w:color="auto"/>
                <w:bottom w:val="none" w:sz="0" w:space="0" w:color="auto"/>
                <w:right w:val="none" w:sz="0" w:space="0" w:color="auto"/>
              </w:divBdr>
            </w:div>
            <w:div w:id="95100814">
              <w:marLeft w:val="0"/>
              <w:marRight w:val="0"/>
              <w:marTop w:val="150"/>
              <w:marBottom w:val="0"/>
              <w:divBdr>
                <w:top w:val="none" w:sz="0" w:space="0" w:color="auto"/>
                <w:left w:val="none" w:sz="0" w:space="0" w:color="auto"/>
                <w:bottom w:val="none" w:sz="0" w:space="0" w:color="auto"/>
                <w:right w:val="none" w:sz="0" w:space="0" w:color="auto"/>
              </w:divBdr>
            </w:div>
          </w:divsChild>
        </w:div>
        <w:div w:id="899638318">
          <w:marLeft w:val="0"/>
          <w:marRight w:val="0"/>
          <w:marTop w:val="525"/>
          <w:marBottom w:val="525"/>
          <w:divBdr>
            <w:top w:val="none" w:sz="0" w:space="0" w:color="auto"/>
            <w:left w:val="none" w:sz="0" w:space="0" w:color="auto"/>
            <w:bottom w:val="none" w:sz="0" w:space="0" w:color="auto"/>
            <w:right w:val="none" w:sz="0" w:space="0" w:color="auto"/>
          </w:divBdr>
          <w:divsChild>
            <w:div w:id="1896619236">
              <w:marLeft w:val="0"/>
              <w:marRight w:val="0"/>
              <w:marTop w:val="0"/>
              <w:marBottom w:val="150"/>
              <w:divBdr>
                <w:top w:val="none" w:sz="0" w:space="0" w:color="auto"/>
                <w:left w:val="none" w:sz="0" w:space="0" w:color="auto"/>
                <w:bottom w:val="none" w:sz="0" w:space="0" w:color="auto"/>
                <w:right w:val="none" w:sz="0" w:space="0" w:color="auto"/>
              </w:divBdr>
            </w:div>
            <w:div w:id="1699772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1549</Words>
  <Characters>8522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14</cp:revision>
  <cp:lastPrinted>2018-05-24T19:57:00Z</cp:lastPrinted>
  <dcterms:created xsi:type="dcterms:W3CDTF">2020-04-20T20:36:00Z</dcterms:created>
  <dcterms:modified xsi:type="dcterms:W3CDTF">2021-11-09T21:57:00Z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-72585082</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